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BF4F64" w14:textId="77777777" w:rsidR="00626D06" w:rsidRPr="0046661D" w:rsidRDefault="00626D06" w:rsidP="00626D06">
      <w:pPr>
        <w:pStyle w:val="NormalIndent"/>
        <w:spacing w:before="40"/>
        <w:ind w:left="850"/>
        <w:rPr>
          <w:rFonts w:ascii="Helvetica" w:hAnsi="Helvetica"/>
        </w:rPr>
      </w:pPr>
      <w:r w:rsidRPr="0046661D">
        <w:rPr>
          <w:rFonts w:ascii="Helvetica" w:hAnsi="Helvetica"/>
        </w:rPr>
        <w:t>TABLE OF CONTENTS</w:t>
      </w:r>
    </w:p>
    <w:p w14:paraId="5255971A" w14:textId="77777777" w:rsidR="00626D06" w:rsidRPr="0046661D" w:rsidRDefault="00626D06" w:rsidP="00626D06">
      <w:pPr>
        <w:rPr>
          <w:rFonts w:ascii="Helvetica" w:hAnsi="Helvetica"/>
        </w:rPr>
      </w:pPr>
    </w:p>
    <w:p w14:paraId="41370761" w14:textId="277F4440" w:rsidR="002F400B" w:rsidRDefault="00912827" w:rsidP="009B3B4C">
      <w:pPr>
        <w:rPr>
          <w:b/>
          <w:bCs/>
          <w:noProof/>
          <w:lang w:val="en-US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r w:rsidR="00033D3F">
        <w:rPr>
          <w:b/>
          <w:bCs/>
          <w:noProof/>
          <w:lang w:val="en-US"/>
        </w:rPr>
        <w:t>No table of contents entries found.</w:t>
      </w:r>
      <w:r>
        <w:rPr>
          <w:b/>
          <w:bCs/>
          <w:noProof/>
          <w:lang w:val="en-US"/>
        </w:rPr>
        <w:fldChar w:fldCharType="end"/>
      </w:r>
    </w:p>
    <w:p w14:paraId="586A13B4" w14:textId="7882D307" w:rsidR="00C8668B" w:rsidRDefault="00C8668B" w:rsidP="009B3B4C">
      <w:pPr>
        <w:rPr>
          <w:b/>
          <w:bCs/>
          <w:noProof/>
          <w:lang w:val="en-US"/>
        </w:rPr>
      </w:pPr>
    </w:p>
    <w:p w14:paraId="4DE6B04C" w14:textId="08415264" w:rsidR="007D39B5" w:rsidRDefault="007D39B5">
      <w:pPr>
        <w:rPr>
          <w:b/>
          <w:bCs/>
          <w:noProof/>
          <w:lang w:val="en-US"/>
        </w:rPr>
      </w:pPr>
    </w:p>
    <w:p w14:paraId="217C0639" w14:textId="77777777" w:rsidR="00C8668B" w:rsidRPr="009B3B4C" w:rsidRDefault="00C8668B" w:rsidP="009B3B4C">
      <w:pPr>
        <w:rPr>
          <w:b/>
          <w:bCs/>
          <w:noProof/>
          <w:lang w:val="en-US"/>
        </w:rPr>
      </w:pPr>
    </w:p>
    <w:p>
      <w:r>
        <w:br w:type="page"/>
      </w:r>
    </w:p>
    <w:bookmarkStart w:id="0" w:name="open-source-fea-using-adapy"/>
    <w:p>
      <w:pPr>
        <w:pStyle w:val="Heading1"/>
      </w:pPr>
      <w:r>
        <w:t xml:space="preserve">Open Source FEA using adapy</w:t>
      </w:r>
    </w:p>
    <w:p>
      <w:pPr>
        <w:pStyle w:val="NormalIndent"/>
        <w:spacing w:before="40"/>
        <w:ind w:left="850"/>
      </w:pPr>
      <w:r>
        <w:t xml:space="preserve">This report describes the main verification work of the simulation results produced by the</w:t>
      </w:r>
      <w:r>
        <w:t xml:space="preserve"> </w:t>
      </w:r>
      <w:r>
        <w:t xml:space="preserve">Open Source Finite Element (FE) solvers</w:t>
      </w:r>
      <w:r>
        <w:t xml:space="preserve"> </w:t>
      </w:r>
      <w:hyperlink r:id="rId10">
        <w:r>
          <w:rPr>
            <w:rStyle w:val="Hyperlink"/>
          </w:rPr>
          <w:t xml:space="preserve">Code Aster</w:t>
        </w:r>
      </w:hyperlink>
      <w:r>
        <w:t xml:space="preserve"> </w:t>
      </w:r>
      <w:r>
        <w:t xml:space="preserve">and</w:t>
      </w:r>
      <w:r>
        <w:t xml:space="preserve"> </w:t>
      </w:r>
      <w:hyperlink r:id="rId11">
        <w:r>
          <w:rPr>
            <w:rStyle w:val="Hyperlink"/>
          </w:rPr>
          <w:t xml:space="preserve">Calculix</w:t>
        </w:r>
      </w:hyperlink>
      <w:r>
        <w:t xml:space="preserve">.</w:t>
      </w:r>
    </w:p>
    <w:p>
      <w:pPr>
        <w:pStyle w:val="Normal Indent"/>
        <w:spacing w:before="240"/>
        <w:ind w:left="850"/>
      </w:pPr>
      <w:r>
        <w:t xml:space="preserve">The motivation behind producing this report is to increase confidence in the conversion of FEM models in</w:t>
      </w:r>
      <w:r>
        <w:t xml:space="preserve"> </w:t>
      </w:r>
      <w:r>
        <w:rPr>
          <w:i/>
          <w:iCs/>
        </w:rPr>
        <w:t xml:space="preserve">adapy</w:t>
      </w:r>
      <w:r>
        <w:t xml:space="preserve"> </w:t>
      </w:r>
      <w:r>
        <w:t xml:space="preserve">and also the results from the various FEA solvers.</w:t>
      </w:r>
    </w:p>
    <w:bookmarkStart w:id="1" w:name="introduction"/>
    <w:p>
      <w:pPr>
        <w:pStyle w:val="Heading2"/>
      </w:pPr>
      <w:r>
        <w:t xml:space="preserve">Introduction</w:t>
      </w:r>
    </w:p>
    <w:p>
      <w:pPr>
        <w:pStyle w:val="NormalIndent"/>
        <w:spacing w:before="40"/>
        <w:ind w:left="850"/>
      </w:pPr>
      <w:r>
        <w:t xml:space="preserve">The results from</w:t>
      </w:r>
      <w:r>
        <w:t xml:space="preserve"> </w:t>
      </w:r>
      <w:r>
        <w:rPr>
          <w:i/>
          <w:iCs/>
        </w:rPr>
        <w:t xml:space="preserve">Code Aster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Calculix</w:t>
      </w:r>
      <w:r>
        <w:t xml:space="preserve"> </w:t>
      </w:r>
      <w:r>
        <w:t xml:space="preserve">and tools will be compared with proprietary FEA solvers such as;</w:t>
      </w:r>
    </w:p>
    <w:p>
      <w:pPr>
        <w:pStyle w:val="Bulleted list"/>
        <w:numPr>
          <w:ilvl w:val="0"/>
          <w:numId w:val="13"/>
        </w:numPr>
        <w:spacing w:before="240"/>
        <w:ind w:left="1644"/>
      </w:pPr>
      <w:hyperlink r:id="rId12">
        <w:r>
          <w:rPr>
            <w:rStyle w:val="Hyperlink"/>
          </w:rPr>
          <w:t xml:space="preserve">Abaqus</w:t>
        </w:r>
      </w:hyperlink>
    </w:p>
    <w:p>
      <w:pPr>
        <w:pStyle w:val="Bulleted list"/>
        <w:numPr>
          <w:ilvl w:val="0"/>
          <w:numId w:val="13"/>
        </w:numPr>
        <w:spacing w:after="240"/>
        <w:ind w:left="1644"/>
      </w:pPr>
      <w:hyperlink r:id="rId13">
        <w:r>
          <w:rPr>
            <w:rStyle w:val="Hyperlink"/>
          </w:rPr>
          <w:t xml:space="preserve">Sestra (part of DNV’s Sesam suite)</w:t>
        </w:r>
      </w:hyperlink>
    </w:p>
    <w:p>
      <w:pPr>
        <w:pStyle w:val="NormalIndent"/>
        <w:spacing w:before="40"/>
        <w:ind w:left="850"/>
      </w:pPr>
      <w:r>
        <w:t xml:space="preserve">The simulations are pre- and post processed using</w:t>
      </w:r>
      <w:r>
        <w:t xml:space="preserve"> </w:t>
      </w:r>
      <w:hyperlink r:id="rId14">
        <w:r>
          <w:rPr>
            <w:rStyle w:val="Hyperlink"/>
          </w:rPr>
          <w:t xml:space="preserve">adapy</w:t>
        </w:r>
      </w:hyperlink>
      <w:r>
        <w:t xml:space="preserve"> </w:t>
      </w:r>
      <w:r>
        <w:t xml:space="preserve">and this report is</w:t>
      </w:r>
      <w:r>
        <w:t xml:space="preserve"> </w:t>
      </w:r>
      <w:r>
        <w:t xml:space="preserve">automatically generated using</w:t>
      </w:r>
      <w:r>
        <w:t xml:space="preserve"> </w:t>
      </w:r>
      <w:hyperlink r:id="rId15">
        <w:r>
          <w:rPr>
            <w:rStyle w:val="Hyperlink"/>
          </w:rPr>
          <w:t xml:space="preserve">paradoc</w:t>
        </w:r>
      </w:hyperlink>
      <w:r>
        <w:t xml:space="preserve"> </w:t>
      </w:r>
      <w:r>
        <w:t xml:space="preserve">as</w:t>
      </w:r>
      <w:r>
        <w:t xml:space="preserve"> </w:t>
      </w:r>
      <w:r>
        <w:t xml:space="preserve">part of a ci/cd pipeline within the</w:t>
      </w:r>
      <w:r>
        <w:t xml:space="preserve"> </w:t>
      </w:r>
      <w:r>
        <w:rPr>
          <w:i/>
          <w:iCs/>
        </w:rPr>
        <w:t xml:space="preserve">adapy</w:t>
      </w:r>
      <w:r>
        <w:t xml:space="preserve"> </w:t>
      </w:r>
      <w:r>
        <w:t xml:space="preserve">repositories.</w:t>
      </w:r>
    </w:p>
    <w:p>
      <w:pPr>
        <w:pStyle w:val="Normal Indent"/>
        <w:spacing w:before="240"/>
        <w:ind w:left="850"/>
      </w:pPr>
      <w:r>
        <w:t xml:space="preserve">For each new addition of code affecting the handling of FEM in</w:t>
      </w:r>
      <w:r>
        <w:t xml:space="preserve"> </w:t>
      </w:r>
      <w:r>
        <w:rPr>
          <w:i/>
          <w:iCs/>
        </w:rPr>
        <w:t xml:space="preserve">adapy</w:t>
      </w:r>
      <w:r>
        <w:t xml:space="preserve"> </w:t>
      </w:r>
      <w:r>
        <w:t xml:space="preserve">a new set of analyses is performed,</w:t>
      </w:r>
      <w:r>
        <w:t xml:space="preserve"> </w:t>
      </w:r>
      <w:r>
        <w:t xml:space="preserve">whereas the results are gathered in this auto-generated document.</w:t>
      </w:r>
    </w:p>
    <w:p>
      <w:pPr>
        <w:pStyle w:val="Normal Indent"/>
        <w:spacing w:before="240"/>
        <w:ind w:left="850"/>
      </w:pPr>
      <w:r>
        <w:t xml:space="preserve">Please note! This report will not go into detail into the specifics of why the results are different</w:t>
      </w:r>
      <w:r>
        <w:t xml:space="preserve"> </w:t>
      </w:r>
      <w:r>
        <w:t xml:space="preserve">between different element representations. This report will only investigate</w:t>
      </w:r>
      <w:r>
        <w:t xml:space="preserve"> </w:t>
      </w:r>
      <w:r>
        <w:t xml:space="preserve">and compare the results from different FEA software.</w:t>
      </w:r>
    </w:p>
    <w:bookmarkEnd w:id="0"/>
    <w:bookmarkStart w:id="2" w:name="fea-solvers"/>
    <w:p>
      <w:pPr>
        <w:pStyle w:val="Heading2"/>
      </w:pPr>
      <w:r>
        <w:t xml:space="preserve">FEA Solvers</w:t>
      </w:r>
    </w:p>
    <w:p>
      <w:pPr>
        <w:pStyle w:val="Bulleted list"/>
        <w:numPr>
          <w:ilvl w:val="0"/>
          <w:numId w:val="14"/>
        </w:numPr>
        <w:spacing w:before="240"/>
        <w:ind w:left="1644"/>
      </w:pPr>
      <w:r>
        <w:t xml:space="preserve">Calculix v2.23</w:t>
      </w:r>
    </w:p>
    <w:p>
      <w:pPr>
        <w:pStyle w:val="Bulleted list"/>
        <w:numPr>
          <w:ilvl w:val="0"/>
          <w:numId w:val="14"/>
        </w:numPr>
        <w:ind w:left="1644"/>
      </w:pPr>
      <w:r>
        <w:t xml:space="preserve">Code Aster v18.1.7</w:t>
      </w:r>
    </w:p>
    <w:p>
      <w:pPr>
        <w:pStyle w:val="Bulleted list"/>
        <w:numPr>
          <w:ilvl w:val="0"/>
          <w:numId w:val="14"/>
        </w:numPr>
        <w:ind w:left="1644"/>
      </w:pPr>
      <w:r>
        <w:t xml:space="preserve">Abaqus v2025</w:t>
      </w:r>
    </w:p>
    <w:p>
      <w:pPr>
        <w:pStyle w:val="Bulleted list"/>
        <w:numPr>
          <w:ilvl w:val="0"/>
          <w:numId w:val="14"/>
        </w:numPr>
        <w:ind w:left="1644"/>
      </w:pPr>
      <w:r>
        <w:t xml:space="preserve">Sestra v11.3.1.0</w:t>
      </w:r>
    </w:p>
    <w:bookmarkEnd w:id="1"/>
    <w:bookmarkStart w:id="3" w:name="python-packages"/>
    <w:p>
      <w:pPr>
        <w:pStyle w:val="Heading2"/>
      </w:pPr>
      <w:r>
        <w:t xml:space="preserve">Python packages</w:t>
      </w:r>
    </w:p>
    <w:p>
      <w:pPr>
        <w:pStyle w:val="NormalIndent"/>
        <w:spacing w:before="40"/>
        <w:ind w:left="850"/>
      </w:pPr>
      <w:r>
        <w:t xml:space="preserve">The following python packages were instrumental in the creation of this document and the FEA results herein.</w:t>
      </w:r>
    </w:p>
    <w:bookmarkStart w:id="4" w:name="adapy"/>
    <w:p>
      <w:pPr>
        <w:pStyle w:val="Heading3"/>
      </w:pPr>
      <w:r>
        <w:t xml:space="preserve">Adapy</w:t>
      </w:r>
    </w:p>
    <w:p>
      <w:pPr>
        <w:pStyle w:val="NormalIndent"/>
        <w:spacing w:before="40"/>
        <w:ind w:left="850"/>
      </w:pPr>
      <w:r>
        <w:t xml:space="preserve">The intention behind</w:t>
      </w:r>
      <w:r>
        <w:t xml:space="preserve"> </w:t>
      </w:r>
      <w:r>
        <w:rPr>
          <w:i/>
          <w:iCs/>
        </w:rPr>
        <w:t xml:space="preserve">adapy</w:t>
      </w:r>
      <w:r>
        <w:t xml:space="preserve"> </w:t>
      </w:r>
      <w:r>
        <w:t xml:space="preserve">is to make it easier to work with finite element models</w:t>
      </w:r>
      <w:r>
        <w:t xml:space="preserve"> </w:t>
      </w:r>
      <w:r>
        <w:t xml:space="preserve">and BIM models and act as a high-level scripting library for parametric and procedural modelling techniques.</w:t>
      </w:r>
    </w:p>
    <w:bookmarkEnd w:id="2"/>
    <w:bookmarkStart w:id="5" w:name="paradoc"/>
    <w:p>
      <w:pPr>
        <w:pStyle w:val="Heading3"/>
      </w:pPr>
      <w:r>
        <w:t xml:space="preserve">Paradoc</w:t>
      </w:r>
    </w:p>
    <w:p>
      <w:pPr>
        <w:pStyle w:val="NormalIndent"/>
        <w:spacing w:before="40"/>
        <w:ind w:left="850"/>
      </w:pPr>
      <w:r>
        <w:rPr>
          <w:i/>
          <w:iCs/>
        </w:rPr>
        <w:t xml:space="preserve">paradoc</w:t>
      </w:r>
      <w:r>
        <w:t xml:space="preserve"> </w:t>
      </w:r>
      <w:r>
        <w:t xml:space="preserve">was created to simplify the generation of reports by creating the structure of the document and text</w:t>
      </w:r>
      <w:r>
        <w:t xml:space="preserve"> </w:t>
      </w:r>
      <w:r>
        <w:t xml:space="preserve">in markdown with a string substitution scheme that lets you easily pass in tables, functions and finally be</w:t>
      </w:r>
      <w:r>
        <w:t xml:space="preserve"> </w:t>
      </w:r>
      <w:r>
        <w:t xml:space="preserve">able to produce production ready documents in Microsoft Word.</w:t>
      </w:r>
    </w:p>
    <w:bookmarkEnd w:id="3"/>
    <w:bookmarkEnd w:id="4"/>
    <w:bookmarkEnd w:id="5"/>
    <w:p>
      <w:r>
        <w:br w:type="page"/>
      </w:r>
    </w:p>
    <w:bookmarkStart w:id="6" w:name="summary"/>
    <w:p>
      <w:pPr>
        <w:pStyle w:val="Heading1"/>
      </w:pPr>
      <w:r>
        <w:t xml:space="preserve">Summary</w:t>
      </w:r>
    </w:p>
    <w:p>
      <w:pPr>
        <w:pStyle w:val="NormalIndent"/>
        <w:spacing w:before="40"/>
        <w:ind w:left="850"/>
      </w:pPr>
      <w:r>
        <w:t xml:space="preserve">A summary of all performed analyses will be performed in this section and a</w:t>
      </w:r>
      <w:r>
        <w:t xml:space="preserve"> </w:t>
      </w:r>
      <w:r>
        <w:t xml:space="preserve">percentage difference for each FEA solver per type of analysis will be calculated and</w:t>
      </w:r>
      <w:r>
        <w:t xml:space="preserve"> </w:t>
      </w:r>
      <w:r>
        <w:t xml:space="preserve">presented.</w:t>
      </w:r>
    </w:p>
    <w:bookmarkEnd w:id="6"/>
    <w:p>
      <w:r>
        <w:br w:type="page"/>
      </w:r>
    </w:p>
    <w:bookmarkStart w:id="7" w:name="analyses"/>
    <w:p>
      <w:pPr>
        <w:pStyle w:val="Heading1"/>
      </w:pPr>
      <w:r>
        <w:t xml:space="preserve">Analyses</w:t>
      </w:r>
    </w:p>
    <w:bookmarkEnd w:id="7"/>
    <w:p>
      <w:r>
        <w:br w:type="page"/>
      </w:r>
    </w:p>
    <w:bookmarkStart w:id="8" w:name="eigenvalue-analysis"/>
    <w:p>
      <w:pPr>
        <w:pStyle w:val="Heading2"/>
      </w:pPr>
      <w:r>
        <w:t xml:space="preserve">Eigenvalue Analysis</w:t>
      </w:r>
    </w:p>
    <w:p>
      <w:pPr>
        <w:pStyle w:val="NormalIndent"/>
        <w:spacing w:before="40"/>
        <w:ind w:left="850"/>
      </w:pPr>
      <w:r>
        <w:t xml:space="preserve">A simple cantilevered beam is subjected to eigenvalue analysis with a total of</w:t>
      </w:r>
      <w:r>
        <w:t xml:space="preserve"> </w:t>
      </w:r>
      <w:r>
        <w:t xml:space="preserve">11 eigenmodes requested. 47 cases are compared</w:t>
      </w:r>
      <w:r>
        <w:t xml:space="preserve"> </w:t>
      </w:r>
      <w:r>
        <w:t xml:space="preserve">across solvers: abaqus, calculix, code_aster, sesam.</w:t>
      </w:r>
    </w:p>
    <w:p>
      <w:pPr>
        <w:pStyle w:val="Normal Indent"/>
        <w:spacing w:before="240"/>
        <w:ind w:left="850"/>
      </w:pPr>
      <w:r>
        <w:t xml:space="preserve">The beam model will be analyzed by varying the following parameters:</w:t>
      </w:r>
    </w:p>
    <w:p>
      <w:pPr>
        <w:pStyle w:val="Bulleted list"/>
        <w:numPr>
          <w:ilvl w:val="0"/>
          <w:numId w:val="15"/>
        </w:numPr>
        <w:spacing w:before="240"/>
        <w:ind w:left="1644"/>
      </w:pPr>
      <w:r>
        <w:t xml:space="preserve">Mesh type (Solid, Shell, Line)</w:t>
      </w:r>
    </w:p>
    <w:p>
      <w:pPr>
        <w:pStyle w:val="Bulleted list"/>
        <w:numPr>
          <w:ilvl w:val="0"/>
          <w:numId w:val="15"/>
        </w:numPr>
        <w:ind w:left="1644"/>
      </w:pPr>
      <w:r>
        <w:t xml:space="preserve">Mesh element types (TET, HEX, TRI, QUAD)</w:t>
      </w:r>
    </w:p>
    <w:p>
      <w:pPr>
        <w:pStyle w:val="Bulleted list"/>
        <w:numPr>
          <w:ilvl w:val="0"/>
          <w:numId w:val="15"/>
        </w:numPr>
        <w:ind w:left="1644"/>
      </w:pPr>
      <w:r>
        <w:t xml:space="preserve">Mesh element order (1st and 2nd order)</w:t>
      </w:r>
    </w:p>
    <w:p>
      <w:pPr>
        <w:pStyle w:val="Bulleted list"/>
        <w:numPr>
          <w:ilvl w:val="0"/>
          <w:numId w:val="15"/>
        </w:numPr>
        <w:ind w:left="1644"/>
      </w:pPr>
      <w:r>
        <w:t xml:space="preserve">Reduced integration elements (R)</w:t>
      </w:r>
    </w:p>
    <w:p>
      <w:pPr>
        <w:pStyle w:val="Bulleted list"/>
        <w:numPr>
          <w:ilvl w:val="0"/>
          <w:numId w:val="15"/>
        </w:numPr>
        <w:ind w:left="1644"/>
      </w:pPr>
      <w:r>
        <w:t xml:space="preserve">Different FEA solvers (Calculix, Code Aster, Abaqus, Sesam)</w:t>
      </w:r>
    </w:p>
    <w:bookmarkStart w:id="9" w:name="model-description"/>
    <w:p>
      <w:pPr>
        <w:pStyle w:val="Heading3"/>
      </w:pPr>
      <w:r>
        <w:t xml:space="preserve">Model Description</w:t>
      </w:r>
    </w:p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2457"/>
        <w:gridCol w:w="546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Property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Value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Description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Beam(</w:t>
            </w:r>
            <w:r>
              <w:rPr>
                <w:rFonts w:ascii="Arial" w:hAnsi="Arial"/>
                <w:b w:val="0"/>
                <w:sz w:val="22"/>
              </w:rPr>
              <w:t xml:space="preserve">“MyBeam”</w:t>
            </w:r>
            <w:r>
              <w:rPr>
                <w:rFonts w:ascii="Arial" w:hAnsi="Arial"/>
                <w:b w:val="0"/>
                <w:sz w:val="22"/>
              </w:rPr>
              <w:t xml:space="preserve">, [0.0, 0.5, 0.5], [3.0, 0.5, 0.5],</w:t>
            </w:r>
            <w:r>
              <w:rPr>
                <w:rFonts w:ascii="Arial" w:hAnsi="Arial"/>
                <w:b w:val="0"/>
                <w:sz w:val="22"/>
              </w:rPr>
              <w:t xml:space="preserve"> </w:t>
            </w:r>
            <w:r>
              <w:rPr>
                <w:rFonts w:ascii="Arial" w:hAnsi="Arial"/>
                <w:b w:val="0"/>
                <w:sz w:val="22"/>
              </w:rPr>
              <w:t xml:space="preserve">“IPE400”</w:t>
            </w:r>
            <w:r>
              <w:rPr>
                <w:rFonts w:ascii="Arial" w:hAnsi="Arial"/>
                <w:b w:val="0"/>
                <w:sz w:val="22"/>
              </w:rPr>
              <w:t xml:space="preserve">,</w:t>
            </w:r>
            <w:r>
              <w:rPr>
                <w:rFonts w:ascii="Arial" w:hAnsi="Arial"/>
                <w:b w:val="0"/>
                <w:sz w:val="22"/>
              </w:rPr>
              <w:t xml:space="preserve"> </w:t>
            </w:r>
            <w:r>
              <w:rPr>
                <w:rFonts w:ascii="Arial" w:hAnsi="Arial"/>
                <w:b w:val="0"/>
                <w:sz w:val="22"/>
              </w:rPr>
              <w:t xml:space="preserve">“S420”</w:t>
            </w:r>
            <w:r>
              <w:rPr>
                <w:rFonts w:ascii="Arial" w:hAnsi="Arial"/>
                <w:b w:val="0"/>
                <w:sz w:val="22"/>
              </w:rPr>
              <w:t xml:space="preserve">)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Length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3.00 m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Section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IPE400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Material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S420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Young’s modulus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2.100e+11 Pa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Yield stress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4.200e+08 Pa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Density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7850 kg/m³</w:t>
            </w:r>
          </w:p>
        </w:tc>
      </w:tr>
    </w:tbl>
    <w:bookmarkStart w:id="10" w:name="fig:beam_geometry_3d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: Cantilever beam geometry." title="" id="1" name="Picture"/>
            <a:graphic>
              <a:graphicData uri="http://schemas.openxmlformats.org/drawingml/2006/picture">
                <pic:pic>
                  <pic:nvPicPr>
                    <pic:cNvPr descr="/home/runner/work/adapy/adapy/verification/_assets/beam.png" id="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1: Cantilever beam geometry.</w:t>
      </w:r>
    </w:p>
    <w:bookmarkEnd w:id="8"/>
    <w:bookmarkEnd w:id="9"/>
    <w:bookmarkStart w:id="6" w:name="summary"/>
    <w:p>
      <w:pPr>
        <w:pStyle w:val="Heading3"/>
      </w:pPr>
      <w:r>
        <w:t xml:space="preserve">Summary</w:t>
      </w:r>
    </w:p>
    <w:p>
      <w:pPr>
        <w:pStyle w:val="NormalIndent"/>
        <w:spacing w:before="40"/>
        <w:ind w:left="850"/>
      </w:pPr>
      <w:r>
        <w:t xml:space="preserve">This section presents a comparison between the calculated results from the</w:t>
      </w:r>
      <w:r>
        <w:t xml:space="preserve"> </w:t>
      </w:r>
      <w:r>
        <w:t xml:space="preserve">eigenvalue analysis of a cantilever beam using the different FEA tools.</w:t>
      </w:r>
    </w:p>
    <w:p>
      <w:pPr>
        <w:pStyle w:val="Normal Indent"/>
        <w:spacing w:before="240"/>
        <w:ind w:left="850"/>
      </w:pPr>
      <w:r>
        <w:t xml:space="preserve">Note! The</w:t>
      </w:r>
      <w:r>
        <w:t xml:space="preserve"> </w:t>
      </w:r>
      <w:r>
        <w:rPr>
          <w:rStyle w:val="VerbatimChar"/>
        </w:rPr>
        <w:t xml:space="preserve">Sestra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Abaqus</w:t>
      </w:r>
      <w:r>
        <w:t xml:space="preserve"> </w:t>
      </w:r>
      <w:r>
        <w:t xml:space="preserve">analyses are not performed as part of the github actions step. The</w:t>
      </w:r>
      <w:r>
        <w:t xml:space="preserve"> </w:t>
      </w:r>
      <w:r>
        <w:t xml:space="preserve">eigenmode results are kept in cached json files and imported during the compilation of the report using</w:t>
      </w:r>
      <w:r>
        <w:t xml:space="preserve"> </w:t>
      </w:r>
      <w:r>
        <w:rPr>
          <w:b/>
          <w:bCs/>
        </w:rPr>
        <w:t xml:space="preserve">paradoc</w:t>
      </w:r>
      <w:r>
        <w:t xml:space="preserve">.</w:t>
      </w:r>
    </w:p>
    <w:bookmarkStart w:id="11" w:name="eigenfrequency-vs.-mode-number"/>
    <w:p>
      <w:pPr>
        <w:pStyle w:val="Heading4"/>
      </w:pPr>
      <w:r>
        <w:t xml:space="preserve">Eigenfrequency vs. mode number</w:t>
      </w:r>
    </w:p>
    <w:bookmarkStart w:id="12" w:name="fig:eig_freq_vs_mode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3810000"/>
            <wp:effectExtent b="0" l="0" r="0" t="0"/>
            <wp:docPr descr="Figure 2: Eigenfrequency vs. mode number across FEA cases." title="" id="2" name="Picture"/>
            <a:graphic>
              <a:graphicData uri="http://schemas.openxmlformats.org/drawingml/2006/picture">
                <pic:pic>
                  <pic:nvPicPr>
                    <pic:cNvPr descr="images/eig_freq_vs_mode.png" id="2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2: Eigenfrequency vs. mode number across FEA cases.</w:t>
      </w:r>
    </w:p>
    <w:bookmarkEnd w:id="10"/>
    <w:bookmarkEnd w:id="6"/>
    <w:bookmarkStart w:id="13" w:name="comparison-tables"/>
    <w:p>
      <w:pPr>
        <w:pStyle w:val="Heading4"/>
      </w:pPr>
      <w:r>
        <w:t xml:space="preserve">Comparison tables</w:t>
      </w:r>
    </w:p>
    <w:p>
      <w:pPr>
        <w:pStyle w:val="NormalIndent"/>
        <w:spacing w:before="40"/>
        <w:ind w:left="850"/>
      </w:pPr>
      <w:r>
        <w:t xml:space="preserve">Columns are sortable; the table grammar</w:t>
      </w:r>
      <w:r>
        <w:t xml:space="preserve"> </w:t>
      </w:r>
      <w:r>
        <w:rPr>
          <w:rStyle w:val="VerbatimChar"/>
        </w:rPr>
        <w:t xml:space="preserve">{tbl:sortby:Mode:asc;index:no}</w:t>
      </w:r>
      <w:r>
        <w:t xml:space="preserve"> </w:t>
      </w:r>
      <w:r>
        <w:t xml:space="preserve">sets the</w:t>
      </w:r>
      <w:r>
        <w:t xml:space="preserve"> </w:t>
      </w:r>
      <w:r>
        <w:t xml:space="preserve">initial sort and hides the index column.</w:t>
      </w:r>
    </w:p>
    <w:bookmarkStart w:id="14" w:name="tbl:eig_compare_solid_o1"/>
    <w:p>
      <w:bookmarkStart w:id="15" w:name="_Ref192722512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"Heading 1"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\r 1 \s 1 </w:instrText>
        <w:fldChar w:fldCharType="separate"/>
        <w:t>1</w:t>
        <w:fldChar w:fldCharType="end"/>
      </w:r>
      <w:bookmarkEnd w:id="15"/>
      <w:r>
        <w:rPr>
          <w:rFonts w:ascii="Arial" w:hAnsi="Arial"/>
        </w:rPr>
        <w:t>: Eigenfrequency comparison (Hz) — solid, 1st order.</w:t>
      </w:r>
      <w:r>
        <w:rPr>
          <w:rFonts w:ascii="Arial" w:hAnsi="Arial"/>
        </w:rPr>
      </w:r>
    </w:p>
    <w:tbl>
      <w:tblPr>
        <w:tblStyle w:val="GridTable1Light"/>
        <w:tblW w:type="pct" w:w="4669"/>
        <w:jc w:val="center"/>
        <w:tblLayout w:type="autofit"/>
        <w:tblLook w:firstRow="1" w:lastRow="0" w:firstColumn="0" w:lastColumn="0" w:noHBand="0" w:noVBand="0" w:val="0020"/>
        <w:tblCaption w:val="Table 1: Eigenfrequency comparison (Hz) — solid, 1st order."/>
      </w:tblPr>
      <w:tblGrid>
        <w:gridCol w:w="472"/>
        <w:gridCol w:w="629"/>
        <w:gridCol w:w="629"/>
        <w:gridCol w:w="681"/>
        <w:gridCol w:w="629"/>
        <w:gridCol w:w="629"/>
        <w:gridCol w:w="629"/>
        <w:gridCol w:w="576"/>
        <w:gridCol w:w="629"/>
        <w:gridCol w:w="576"/>
        <w:gridCol w:w="681"/>
        <w:gridCol w:w="62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ca_HEXR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12.9766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15.7932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12.514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13.435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15.79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15.9285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15.9277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13.6205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13.6205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14.3018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13.5291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20.3015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51.5418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34.157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20.731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51.532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51.5896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51.5872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21.0685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21.0685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51.6653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34.7401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50.6181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97.7314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49.598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50.678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97.588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102.446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102.41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50.8252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50.8252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88.2331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50.7365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77.3921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105.691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55.271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82.799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104.8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116.744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84.066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84.066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116.873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82.2962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98.1185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260.887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64.305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100.19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260.59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261.877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261.806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102.334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102.334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240.766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123.303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133.016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267.131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74.866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223.14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266.26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284.697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284.465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227.25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227.25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258.286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147.139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153.833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287.461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90.033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254.98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285.05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357.062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356.306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255.872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255.872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351.823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205.267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178.565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432.347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124.58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260.1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432.31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432.36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432.35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266.519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266.519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431.955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243.985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214.689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503.862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155.99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396.57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500.86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529.297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528.489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407.869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407.869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439.038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254.838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253.463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539.506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159.95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431.8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534.26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601.943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601.586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432.207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432.207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456.762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282.888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256.05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598.2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162.56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486.96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596.78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617.646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616.155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500.931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500.931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582.562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305.247</w:t>
            </w:r>
          </w:p>
        </w:tc>
      </w:tr>
    </w:tbl>
    <w:bookmarkEnd w:id="12"/>
    <w:p>
      <w:pPr>
        <w:spacing w:before="440"/>
      </w:pPr>
    </w:p>
    <w:bookmarkStart w:id="16" w:name="tbl:eig_compare_solid_o2"/>
    <w:p>
      <w:bookmarkStart w:id="17" w:name="_Ref125493645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"Heading 1"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17"/>
      <w:r>
        <w:rPr>
          <w:rFonts w:ascii="Arial" w:hAnsi="Arial"/>
        </w:rPr>
        <w:t>: Eigenfrequency comparison (Hz) — solid, 2nd order.</w:t>
      </w:r>
      <w:r>
        <w:rPr>
          <w:rFonts w:ascii="Arial" w:hAnsi="Arial"/>
        </w:rPr>
      </w:r>
    </w:p>
    <w:tbl>
      <w:tblPr>
        <w:tblStyle w:val="GridTable1Light"/>
        <w:tblW w:type="pct" w:w="4669"/>
        <w:jc w:val="center"/>
        <w:tblLayout w:type="autofit"/>
        <w:tblLook w:firstRow="1" w:lastRow="0" w:firstColumn="0" w:lastColumn="0" w:noHBand="0" w:noVBand="0" w:val="0020"/>
        <w:tblCaption w:val="Table 2: Eigenfrequency comparison (Hz) — solid, 2nd order."/>
      </w:tblPr>
      <w:tblGrid>
        <w:gridCol w:w="472"/>
        <w:gridCol w:w="629"/>
        <w:gridCol w:w="629"/>
        <w:gridCol w:w="681"/>
        <w:gridCol w:w="629"/>
        <w:gridCol w:w="629"/>
        <w:gridCol w:w="629"/>
        <w:gridCol w:w="576"/>
        <w:gridCol w:w="629"/>
        <w:gridCol w:w="576"/>
        <w:gridCol w:w="681"/>
        <w:gridCol w:w="62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ca_HEXR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12.9541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12.9537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12.955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12.954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12.9542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12.9542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12.9551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12.9551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12.9428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12.9427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20.0445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20.2945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20.029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20.294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20.2876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20.2877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20.1503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20.1503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20.0288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20.0288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50.5342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50.5401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50.498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50.541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50.54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50.5401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50.5402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50.5412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50.5412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50.4977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50.4977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76.7467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77.1278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76.687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76.89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77.128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77.2297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77.2297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76.8903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76.8903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76.6876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76.6875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97.4723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97.8296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97.391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97.594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97.83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97.8506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97.8505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97.5939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97.5939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97.3913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97.3912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130.865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132.478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130.81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131.37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132.48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133.015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133.014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131.365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131.365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130.814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130.809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148.496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153.631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148.47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149.96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153.63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154.804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154.802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149.958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149.958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148.478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148.474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172.243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178.114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172.17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173.92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178.12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181.029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181.026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173.925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173.925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172.177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172.171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201.904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215.815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201.84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205.29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215.82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219.501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219.497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205.292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205.292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201.846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201.839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246.353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253.203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246.17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251.35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253.2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253.193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253.193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251.347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251.347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246.177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246.165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252.742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254.466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252.57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252.92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254.47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254.685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254.684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252.917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252.917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252.573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252.573</w:t>
            </w:r>
          </w:p>
        </w:tc>
      </w:tr>
    </w:tbl>
    <w:bookmarkEnd w:id="14"/>
    <w:p>
      <w:pPr>
        <w:spacing w:before="440"/>
      </w:pPr>
    </w:p>
    <w:bookmarkStart w:id="18" w:name="tbl:eig_compare_shell_o1"/>
    <w:p>
      <w:bookmarkStart w:id="19" w:name="_Ref554900206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"Heading 1"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19"/>
      <w:r>
        <w:rPr>
          <w:rFonts w:ascii="Arial" w:hAnsi="Arial"/>
        </w:rPr>
        <w:t>: Eigenfrequency comparison (Hz) — shell, 1st order.</w:t>
      </w:r>
      <w:r>
        <w:rPr>
          <w:rFonts w:ascii="Arial" w:hAnsi="Arial"/>
        </w:rPr>
      </w:r>
    </w:p>
    <w:tbl>
      <w:tblPr>
        <w:tblStyle w:val="GridTable1Light"/>
        <w:tblW w:type="pct" w:w="4690"/>
        <w:jc w:val="center"/>
        <w:tblLayout w:type="autofit"/>
        <w:tblLook w:firstRow="1" w:lastRow="0" w:firstColumn="0" w:lastColumn="0" w:noHBand="0" w:noVBand="0" w:val="0020"/>
        <w:tblCaption w:val="Table 3: Eigenfrequency comparison (Hz) — shell, 1st order."/>
      </w:tblPr>
      <w:tblGrid>
        <w:gridCol w:w="491"/>
        <w:gridCol w:w="710"/>
        <w:gridCol w:w="655"/>
        <w:gridCol w:w="764"/>
        <w:gridCol w:w="710"/>
        <w:gridCol w:w="710"/>
        <w:gridCol w:w="655"/>
        <w:gridCol w:w="600"/>
        <w:gridCol w:w="710"/>
        <w:gridCol w:w="655"/>
        <w:gridCol w:w="764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aba_QUADR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aba_TRIR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ccx_QUADR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12.7628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13.6414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12.373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13.6869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13.7254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13.642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12.7639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13.1463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14.2558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19.3943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20.1983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19.593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20.3643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36.6896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20.4181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19.6304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19.9719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53.2618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51.9912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52.1922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51.849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52.1874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52.2485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52.1927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51.9997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52.0595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87.9153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75.1918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79.5226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73.558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75.683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80.2058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83.7093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79.6596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75.4574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77.2361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121.85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95.9297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101.756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93.709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96.393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102.043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132.928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102.01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96.2959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98.7619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239.804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125.116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125.093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126.87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126.96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124.093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218.167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125.459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125.898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125.442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262.83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141.556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143.164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144.58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145.57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145.486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259.245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144.895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145.282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143.864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365.1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165.03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166.668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168.38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169.39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168.62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297.856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168.951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169.441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167.974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431.774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190.099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191.533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197.51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198.75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199.719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304.464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195.184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200.494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193.96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451.745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229.46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230.489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241.27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242.55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242.995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365.943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235.115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247.276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233.817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464.44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250.786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257.362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245.07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252.49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257.447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368.764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257.409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251.554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257.105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589.24</w:t>
            </w:r>
          </w:p>
        </w:tc>
      </w:tr>
    </w:tbl>
    <w:bookmarkEnd w:id="16"/>
    <w:p>
      <w:pPr>
        <w:spacing w:before="440"/>
      </w:pPr>
    </w:p>
    <w:bookmarkStart w:id="20" w:name="tbl:eig_compare_shell_o2"/>
    <w:p>
      <w:bookmarkStart w:id="21" w:name="_Ref765782983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"Heading 1"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21"/>
      <w:r>
        <w:rPr>
          <w:rFonts w:ascii="Arial" w:hAnsi="Arial"/>
        </w:rPr>
        <w:t>: Eigenfrequency comparison (Hz) — shell, 2nd order.</w:t>
      </w:r>
      <w:r>
        <w:rPr>
          <w:rFonts w:ascii="Arial" w:hAnsi="Arial"/>
        </w:rPr>
      </w:r>
    </w:p>
    <w:tbl>
      <w:tblPr>
        <w:tblStyle w:val="GridTable1Light"/>
        <w:tblW w:type="pct" w:w="4688"/>
        <w:jc w:val="center"/>
        <w:tblLayout w:type="autofit"/>
        <w:tblLook w:firstRow="1" w:lastRow="0" w:firstColumn="0" w:lastColumn="0" w:noHBand="0" w:noVBand="0" w:val="0020"/>
        <w:tblCaption w:val="Table 4: Eigenfrequency comparison (Hz) — shell, 2nd order."/>
      </w:tblPr>
      <w:tblGrid>
        <w:gridCol w:w="495"/>
        <w:gridCol w:w="715"/>
        <w:gridCol w:w="660"/>
        <w:gridCol w:w="770"/>
        <w:gridCol w:w="715"/>
        <w:gridCol w:w="660"/>
        <w:gridCol w:w="660"/>
        <w:gridCol w:w="605"/>
        <w:gridCol w:w="715"/>
        <w:gridCol w:w="660"/>
        <w:gridCol w:w="770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aba_QUADR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ccx_QUADR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12.7554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12.7558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12.7562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12.7566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12.7576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12.7561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12.7559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19.4731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19.5048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19.486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19.486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19.567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19.5254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19.4509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19.5638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19.4736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19.5021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51.9702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51.9704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51.969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51.9801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51.9741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75.1245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75.1716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75.149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75.149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75.145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75.1848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75.1443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75.2685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75.1252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75.1399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95.8886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95.9337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95.92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95.92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96.001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95.9713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95.8707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96.0372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95.8893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95.9349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124.987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125.173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125.21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125.465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125.087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125.889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124.987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125.257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142.234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142.768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142.32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142.32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142.77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142.995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142.359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143.72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142.233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142.497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165.718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166.334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165.85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165.85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166.6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166.579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165.79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167.347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165.719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165.981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191.999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193.308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192.18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192.18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192.84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194.014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192.406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195.577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191.998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192.87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232.626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234.613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232.87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232.87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233.36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236.042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233.389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238.389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232.628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234.347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250.095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250.24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250.17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250.17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250.13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250.287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250.175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250.521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250.096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250.147</w:t>
            </w:r>
          </w:p>
        </w:tc>
      </w:tr>
    </w:tbl>
    <w:bookmarkEnd w:id="18"/>
    <w:p>
      <w:pPr>
        <w:spacing w:before="440"/>
      </w:pPr>
    </w:p>
    <w:bookmarkStart w:id="22" w:name="tbl:eig_compare_line_o1"/>
    <w:p>
      <w:bookmarkStart w:id="23" w:name="_Ref997873705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"Heading 1"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23"/>
      <w:r>
        <w:rPr>
          <w:rFonts w:ascii="Arial" w:hAnsi="Arial"/>
        </w:rPr>
        <w:t>: Eigenfrequency comparison (Hz) — line, 1st order.</w:t>
      </w:r>
      <w:r>
        <w:rPr>
          <w:rFonts w:ascii="Arial" w:hAnsi="Arial"/>
        </w:rPr>
      </w:r>
    </w:p>
    <w:tbl>
      <w:tblPr>
        <w:tblStyle w:val="GridTable1Light"/>
        <w:tblW w:type="pct" w:w="2639"/>
        <w:jc w:val="center"/>
        <w:tblLayout w:type="autofit"/>
        <w:tblLook w:firstRow="1" w:lastRow="0" w:firstColumn="0" w:lastColumn="0" w:noHBand="0" w:noVBand="0" w:val="0020"/>
        <w:tblCaption w:val="Table 5: Eigenfrequency comparison (Hz) — line, 1st order."/>
      </w:tblPr>
      <w:tblGrid>
        <w:gridCol w:w="990"/>
        <w:gridCol w:w="1100"/>
        <w:gridCol w:w="990"/>
        <w:gridCol w:w="1100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12.2454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12.2454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12.9431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12.9793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36.7525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32.342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36.7525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44.9622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50.543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52.9559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61.3087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53.855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61.3087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79.793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75.296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81.3401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85.9466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79.59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85.9466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110.699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96.637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110.699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135.6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117.85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135.6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160.681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138.9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160.681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176.495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159.77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185.976</w:t>
            </w:r>
          </w:p>
        </w:tc>
      </w:tr>
    </w:tbl>
    <w:bookmarkEnd w:id="20"/>
    <w:p>
      <w:pPr>
        <w:spacing w:before="440"/>
      </w:pPr>
    </w:p>
    <w:bookmarkStart w:id="24" w:name="tbl:eig_compare_line_o2"/>
    <w:p>
      <w:bookmarkStart w:id="25" w:name="_Ref474445304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"Heading 1"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25"/>
      <w:r>
        <w:rPr>
          <w:rFonts w:ascii="Arial" w:hAnsi="Arial"/>
        </w:rPr>
        <w:t>: Eigenfrequency comparison (Hz) — line, 2nd order.</w:t>
      </w:r>
      <w:r>
        <w:rPr>
          <w:rFonts w:ascii="Arial" w:hAnsi="Arial"/>
        </w:rPr>
      </w:r>
    </w:p>
    <w:tbl>
      <w:tblPr>
        <w:tblStyle w:val="GridTable1Light"/>
        <w:tblW w:type="pct" w:w="1944"/>
        <w:jc w:val="center"/>
        <w:tblLayout w:type="autofit"/>
        <w:tblLook w:firstRow="1" w:lastRow="0" w:firstColumn="0" w:lastColumn="0" w:noHBand="0" w:noVBand="0" w:val="0020"/>
        <w:tblCaption w:val="Table 6: Eigenfrequency comparison (Hz) — line, 2nd order."/>
      </w:tblPr>
      <w:tblGrid>
        <w:gridCol w:w="990"/>
        <w:gridCol w:w="1100"/>
        <w:gridCol w:w="990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10.039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10.786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10.6144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12.932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30.1078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32.358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36.752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50.557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50.1488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53.93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65.3265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75.502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70.1429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79.684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90.0695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97.074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109.907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118.65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129.631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140.22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142.572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161.8</w:t>
            </w:r>
          </w:p>
        </w:tc>
      </w:tr>
    </w:tbl>
    <w:bookmarkEnd w:id="22"/>
    <w:bookmarkEnd w:id="23"/>
    <w:bookmarkStart w:id="26" w:name="effective-modal-mass"/>
    <w:p>
      <w:pPr>
        <w:pStyle w:val="Heading4"/>
        <w:spacing w:before="440"/>
      </w:pPr>
      <w:r>
        <w:t xml:space="preserve">Effective modal mass</w:t>
      </w:r>
    </w:p>
    <w:p>
      <w:pPr>
        <w:pStyle w:val="NormalIndent"/>
        <w:spacing w:before="40"/>
        <w:ind w:left="850"/>
      </w:pPr>
      <w:r>
        <w:t xml:space="preserve">Effective modal mass [kg] per case, summed over the captured modes in the</w:t>
      </w:r>
      <w:r>
        <w:t xml:space="preserve"> </w:t>
      </w:r>
      <w:r>
        <w:t xml:space="preserve">global X / Y / Z directions. Every solver reports it; Code Aster and Sesam</w:t>
      </w:r>
      <w:r>
        <w:t xml:space="preserve"> </w:t>
      </w:r>
      <w:r>
        <w:t xml:space="preserve">give translational mass only. Summing over enough modes approaches the</w:t>
      </w:r>
      <w:r>
        <w:t xml:space="preserve"> </w:t>
      </w:r>
      <w:r>
        <w:t xml:space="preserve">structure’s total mass in each direction.</w:t>
      </w:r>
    </w:p>
    <w:bookmarkStart w:id="27" w:name="tbl:eff_mass_summary"/>
    <w:p>
      <w:bookmarkStart w:id="28" w:name="_Ref769205293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"Heading 1"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28"/>
      <w:r>
        <w:rPr>
          <w:rFonts w:ascii="Arial" w:hAnsi="Arial"/>
        </w:rPr>
        <w:t>: Effective modal mass [kg] per case, summed over the captured modes in the global X/Y/Z directions. Code_Aster and Sesam report translational effective mass only.</w:t>
      </w:r>
      <w:r>
        <w:rPr>
          <w:rFonts w:ascii="Arial" w:hAnsi="Arial"/>
        </w:rPr>
      </w:r>
    </w:p>
    <w:tbl>
      <w:tblPr>
        <w:tblStyle w:val="GridTable1Light"/>
        <w:tblW w:type="pct" w:w="4653"/>
        <w:jc w:val="center"/>
        <w:tblLayout w:type="autofit"/>
        <w:tblLook w:firstRow="1" w:lastRow="0" w:firstColumn="0" w:lastColumn="0" w:noHBand="0" w:noVBand="0" w:val="0020"/>
        <w:tblCaption w:val="Table 7: Effective modal mass [kg] per case, summed over the captured modes in the global X/Y/Z directions. Code_Aster and Sesam report translational effective mass only."/>
      </w:tblPr>
      <w:tblGrid>
        <w:gridCol w:w="2310"/>
        <w:gridCol w:w="1100"/>
        <w:gridCol w:w="1320"/>
        <w:gridCol w:w="1320"/>
        <w:gridCol w:w="1320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Case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ΣMeff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ΣMeff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ΣMeff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aba_line_o1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152.8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aba_line_o2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152.8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aba_shell_o1_QUAD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aba_shell_o1_QUADR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168.4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aba_shell_o2_QUAD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167.8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aba_shell_o2_QUADR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167.8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aba_shell_o2_TRI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167.9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aba_solid_o1_HEX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170.5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158.2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aba_solid_o1_HEXR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154.3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aba_solid_o1_TET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170.9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aba_solid_o2_HEX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163.3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158.6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aba_solid_o2_HEXR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163.2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158.7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aba_solid_o2_TET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158.6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ca_line_o1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152.3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ca_shell_o1_QUAD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167.6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163.7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ca_shell_o1_TRI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167.3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163.7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ca_shell_o2_QUAD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167.8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ca_shell_o2_TRI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167.8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ca_solid_o1_HEX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170.8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158.3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ca_solid_o1_HEXR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164.7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158.5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ca_solid_o1_TET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172.6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ca_solid_o2_HEX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163.3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158.6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ca_solid_o2_HEXR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163.2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158.7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ca_solid_o2_TET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162.2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158.6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ccx_shell_o1_QUAD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168.1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ccx_shell_o1_QUADR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176.8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176.5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ccx_shell_o1_TRI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174.8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163.6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ccx_shell_o2_QUAD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167.8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ccx_shell_o2_QUADR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167.8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ccx_shell_o2_TRI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167.8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ccx_solid_o1_HEX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170.7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158.2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ccx_solid_o1_HEXR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171.8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171.3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ccx_solid_o1_TET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172.6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ccx_solid_o2_HEX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163.3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158.6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ccx_solid_o2_HEXR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163.2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158.7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ccx_solid_o2_TET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162.2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158.6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ses_line_o1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166.4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ses_line_o2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231.8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252.3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ses_shell_o1_QUAD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167.6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ses_shell_o1_TRI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167.1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163.6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ses_shell_o2_QUAD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167.8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ses_shell_o2_TRI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167.9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ses_solid_o1_HEX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161.7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158.6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ses_solid_o1_TET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172.1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170.9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ses_solid_o2_HEX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163.1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158.7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ses_solid_o2_TET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158.6</w:t>
            </w:r>
          </w:p>
        </w:tc>
      </w:tr>
    </w:tbl>
    <w:bookmarkEnd w:id="25"/>
    <w:p>
      <w:pPr>
        <w:pStyle w:val="Normal Indent"/>
        <w:spacing w:before="240"/>
        <w:ind w:left="850"/>
      </w:pPr>
      <w:r>
        <w:t xml:space="preserve">The per-mode effective masses and participation factors, compared across</w:t>
      </w:r>
      <w:r>
        <w:t xml:space="preserve"> </w:t>
      </w:r>
      <w:r>
        <w:t xml:space="preserve">solvers for every mesh configuration, are in the appendix.</w:t>
      </w:r>
    </w:p>
    <w:p>
      <w:pPr>
        <w:pStyle w:val="Normal Indent"/>
        <w:spacing w:before="240"/>
        <w:ind w:left="850"/>
      </w:pPr>
      <w:r>
        <w:t xml:space="preserve">Short description:</w:t>
      </w:r>
    </w:p>
    <w:p>
      <w:pPr>
        <w:pStyle w:val="Normal Indent"/>
        <w:spacing w:before="240"/>
        <w:ind w:left="850"/>
      </w:pPr>
      <w:r>
        <w:rPr>
          <w:b/>
          <w:bCs/>
        </w:rPr>
        <w:t xml:space="preserve">Fem formats</w:t>
      </w:r>
    </w:p>
    <w:p>
      <w:pPr>
        <w:pStyle w:val="Bulleted list"/>
        <w:numPr>
          <w:ilvl w:val="0"/>
          <w:numId w:val="16"/>
        </w:numPr>
        <w:spacing w:before="240"/>
        <w:ind w:left="1644"/>
      </w:pPr>
      <w:r>
        <w:t xml:space="preserve">ccx: Calculix</w:t>
      </w:r>
    </w:p>
    <w:p>
      <w:pPr>
        <w:pStyle w:val="Bulleted list"/>
        <w:numPr>
          <w:ilvl w:val="0"/>
          <w:numId w:val="16"/>
        </w:numPr>
        <w:ind w:left="1644"/>
      </w:pPr>
      <w:r>
        <w:t xml:space="preserve">ca: Code Aster</w:t>
      </w:r>
    </w:p>
    <w:p>
      <w:pPr>
        <w:pStyle w:val="Bulleted list"/>
        <w:numPr>
          <w:ilvl w:val="0"/>
          <w:numId w:val="16"/>
        </w:numPr>
        <w:ind w:left="1644"/>
      </w:pPr>
      <w:r>
        <w:t xml:space="preserve">ses: Sesam</w:t>
      </w:r>
    </w:p>
    <w:p>
      <w:pPr>
        <w:pStyle w:val="Bulleted list"/>
        <w:numPr>
          <w:ilvl w:val="0"/>
          <w:numId w:val="16"/>
        </w:numPr>
        <w:spacing w:after="240"/>
        <w:ind w:left="1644"/>
      </w:pPr>
      <w:r>
        <w:t xml:space="preserve">aba: Abaqus</w:t>
      </w:r>
    </w:p>
    <w:p>
      <w:pPr>
        <w:pStyle w:val="NormalIndent"/>
        <w:spacing w:before="40"/>
        <w:ind w:left="850"/>
      </w:pPr>
      <w:r>
        <w:rPr>
          <w:b/>
          <w:bCs/>
        </w:rPr>
        <w:t xml:space="preserve">Element Types</w:t>
      </w:r>
    </w:p>
    <w:p>
      <w:pPr>
        <w:pStyle w:val="Bulleted list"/>
        <w:numPr>
          <w:ilvl w:val="0"/>
          <w:numId w:val="17"/>
        </w:numPr>
        <w:spacing w:before="240"/>
        <w:ind w:left="1644"/>
      </w:pPr>
      <w:r>
        <w:t xml:space="preserve">TET: Tetrahedrons</w:t>
      </w:r>
    </w:p>
    <w:p>
      <w:pPr>
        <w:pStyle w:val="Bulleted list"/>
        <w:numPr>
          <w:ilvl w:val="0"/>
          <w:numId w:val="17"/>
        </w:numPr>
        <w:ind w:left="1644"/>
      </w:pPr>
      <w:r>
        <w:t xml:space="preserve">HEX: Hexahedrons</w:t>
      </w:r>
    </w:p>
    <w:p>
      <w:pPr>
        <w:pStyle w:val="Bulleted list"/>
        <w:numPr>
          <w:ilvl w:val="0"/>
          <w:numId w:val="17"/>
        </w:numPr>
        <w:ind w:left="1644"/>
      </w:pPr>
      <w:r>
        <w:t xml:space="preserve">TRI: Triangle</w:t>
      </w:r>
    </w:p>
    <w:p>
      <w:pPr>
        <w:pStyle w:val="Bulleted list"/>
        <w:numPr>
          <w:ilvl w:val="0"/>
          <w:numId w:val="17"/>
        </w:numPr>
        <w:spacing w:after="240"/>
        <w:ind w:left="1644"/>
      </w:pPr>
      <w:r>
        <w:t xml:space="preserve">QUAD: Quadrilateral</w:t>
      </w:r>
    </w:p>
    <w:p>
      <w:pPr>
        <w:pStyle w:val="NormalIndent"/>
        <w:spacing w:before="40"/>
        <w:ind w:left="850"/>
      </w:pPr>
      <w:r>
        <w:rPr>
          <w:b/>
          <w:bCs/>
        </w:rPr>
        <w:t xml:space="preserve">Reduced Integration</w:t>
      </w:r>
    </w:p>
    <w:p>
      <w:pPr>
        <w:pStyle w:val="Normal Indent"/>
        <w:spacing w:before="240"/>
        <w:ind w:left="850"/>
      </w:pPr>
      <w:r>
        <w:t xml:space="preserve">All element types ending with capital R (QUAD</w:t>
      </w:r>
      <w:r>
        <w:rPr>
          <w:b/>
          <w:bCs/>
        </w:rPr>
        <w:t xml:space="preserve">R</w:t>
      </w:r>
      <w:r>
        <w:t xml:space="preserve">, HEX</w:t>
      </w:r>
      <w:r>
        <w:rPr>
          <w:b/>
          <w:bCs/>
        </w:rPr>
        <w:t xml:space="preserve">R</w:t>
      </w:r>
      <w:r>
        <w:t xml:space="preserve"> </w:t>
      </w:r>
      <w:r>
        <w:t xml:space="preserve">etc.) are reduced integration elements.</w:t>
      </w:r>
    </w:p>
    <w:bookmarkEnd w:id="26"/>
    <w:bookmarkEnd w:id="27"/>
    <w:bookmarkEnd w:id="28"/>
    <w:p>
      <w:r>
        <w:br w:type="page"/>
      </w:r>
    </w:p>
    <w:bookmarkStart w:id="29" w:name="nonlinear-analysis"/>
    <w:p>
      <w:pPr>
        <w:pStyle w:val="Heading2"/>
      </w:pPr>
      <w:r>
        <w:t xml:space="preserve">Nonlinear Analysis</w:t>
      </w:r>
    </w:p>
    <w:p>
      <w:pPr>
        <w:pStyle w:val="NormalIndent"/>
        <w:spacing w:before="40"/>
        <w:ind w:left="850"/>
      </w:pPr>
      <w:r>
        <w:t xml:space="preserve">A simple cantilever beam with a series of cutouts is subjugated to a large vertical acceleration field. The level</w:t>
      </w:r>
      <w:r>
        <w:t xml:space="preserve"> </w:t>
      </w:r>
      <w:r>
        <w:t xml:space="preserve">of plastic strains are monitored for comparison across different FE tools.</w:t>
      </w:r>
    </w:p>
    <w:bookmarkStart w:id="9" w:name="model-description"/>
    <w:p>
      <w:pPr>
        <w:pStyle w:val="Heading3"/>
      </w:pPr>
      <w:r>
        <w:t xml:space="preserve">Model Description</w:t>
      </w:r>
    </w:p>
    <w:bookmarkEnd w:id="29"/>
    <w:bookmarkStart w:id="6" w:name="summary"/>
    <w:p>
      <w:pPr>
        <w:pStyle w:val="Heading3"/>
      </w:pPr>
      <w:r>
        <w:t xml:space="preserve">Summary</w:t>
      </w:r>
    </w:p>
    <w:bookmarkEnd w:id="9"/>
    <w:bookmarkEnd w:id="6"/>
    <w:p>
      <w:r>
        <w:br w:type="page"/>
      </w:r>
    </w:p>
    <w:bookmarkStart w:id="30" w:name="plate-analysis"/>
    <w:p>
      <w:pPr>
        <w:pStyle w:val="Heading2"/>
      </w:pPr>
      <w:r>
        <w:t xml:space="preserve">Plate Analysis</w:t>
      </w:r>
    </w:p>
    <w:p>
      <w:pPr>
        <w:pStyle w:val="NormalIndent"/>
        <w:spacing w:before="40"/>
        <w:ind w:left="850"/>
      </w:pPr>
      <w:r>
        <w:t xml:space="preserve">The analyses above are one beam, in three representations. This section is the plate case:</w:t>
      </w:r>
      <w:r>
        <w:t xml:space="preserve"> </w:t>
      </w:r>
      <w:r>
        <w:t xml:space="preserve">an</w:t>
      </w:r>
      <w:r>
        <w:t xml:space="preserve"> </w:t>
      </w:r>
      <w:r>
        <w:rPr>
          <w:rStyle w:val="VerbatimChar"/>
        </w:rPr>
        <w:t xml:space="preserve">ada.Plate</w:t>
      </w:r>
      <w:r>
        <w:t xml:space="preserve"> </w:t>
      </w:r>
      <w:r>
        <w:t xml:space="preserve">object, meshed into shell elements by adapy’s own meshing module, written out</w:t>
      </w:r>
      <w:r>
        <w:t xml:space="preserve"> </w:t>
      </w:r>
      <w:r>
        <w:t xml:space="preserve">as an input deck per solver, and checked against a closed form as well as against the other</w:t>
      </w:r>
      <w:r>
        <w:t xml:space="preserve"> </w:t>
      </w:r>
      <w:r>
        <w:t xml:space="preserve">solvers.</w:t>
      </w:r>
    </w:p>
    <w:p>
      <w:pPr>
        <w:pStyle w:val="Normal Indent"/>
        <w:spacing w:before="240"/>
        <w:ind w:left="850"/>
      </w:pPr>
      <w:r>
        <w:t xml:space="preserve">Nothing here drives a solver through its API. Each solver reads a file adapy wrote — an</w:t>
      </w:r>
      <w:r>
        <w:t xml:space="preserve"> </w:t>
      </w:r>
      <w:r>
        <w:rPr>
          <w:rStyle w:val="VerbatimChar"/>
        </w:rPr>
        <w:t xml:space="preserve">.inp</w:t>
      </w:r>
      <w:r>
        <w:t xml:space="preserve">, a</w:t>
      </w:r>
      <w:r>
        <w:t xml:space="preserve"> </w:t>
      </w:r>
      <w:r>
        <w:rPr>
          <w:rStyle w:val="VerbatimChar"/>
        </w:rPr>
        <w:t xml:space="preserve">.fem</w:t>
      </w:r>
      <w:r>
        <w:t xml:space="preserve">, a</w:t>
      </w:r>
      <w:r>
        <w:t xml:space="preserve"> </w:t>
      </w:r>
      <w:r>
        <w:rPr>
          <w:rStyle w:val="VerbatimChar"/>
        </w:rPr>
        <w:t xml:space="preserve">.comm</w:t>
      </w:r>
      <w:r>
        <w:t xml:space="preserve">/</w:t>
      </w:r>
      <w:r>
        <w:rPr>
          <w:rStyle w:val="VerbatimChar"/>
        </w:rPr>
        <w:t xml:space="preserve">.med</w:t>
      </w:r>
      <w:r>
        <w:t xml:space="preserve"> </w:t>
      </w:r>
      <w:r>
        <w:t xml:space="preserve">— which is the same route a user’s own model takes, so what</w:t>
      </w:r>
      <w:r>
        <w:t xml:space="preserve"> </w:t>
      </w:r>
      <w:r>
        <w:t xml:space="preserve">this section verifies is the thing adapy actually ships.</w:t>
      </w:r>
    </w:p>
    <w:p>
      <w:pPr>
        <w:pStyle w:val="Normal Indent"/>
        <w:spacing w:before="240"/>
        <w:ind w:left="850"/>
      </w:pPr>
      <w:r>
        <w:t xml:space="preserve">9 cases ran on the machine that built this report, using:</w:t>
      </w:r>
      <w:r>
        <w:t xml:space="preserve"> </w:t>
      </w:r>
      <w:r>
        <w:t xml:space="preserve">calculix, code_aster. The remaining columns come from cached results measured elsewhere, the</w:t>
      </w:r>
      <w:r>
        <w:t xml:space="preserve"> </w:t>
      </w:r>
      <w:r>
        <w:t xml:space="preserve">same arrangement the eigenvalue section uses for Abaqus and Sestra.</w:t>
      </w:r>
    </w:p>
    <w:bookmarkStart w:id="9" w:name="model-description"/>
    <w:p>
      <w:pPr>
        <w:pStyle w:val="Heading3"/>
      </w:pPr>
      <w:r>
        <w:t xml:space="preserve">Model Description</w:t>
      </w:r>
    </w:p>
    <w:p>
      <w:pPr>
        <w:pStyle w:val="NormalIndent"/>
        <w:spacing w:before="40"/>
        <w:ind w:left="850"/>
      </w:pPr>
      <w:r>
        <w:t xml:space="preserve">A rectangular strip, simply supported on its two short edges and held in cylindrical bending</w:t>
      </w:r>
      <w:r>
        <w:t xml:space="preserve"> </w:t>
      </w:r>
      <w:r>
        <w:t xml:space="preserve">on the two long ones, under a uniform surface pressure.</w:t>
      </w:r>
    </w:p>
    <w:tbl>
      <w:tblPr>
        <w:tblStyle w:val="GridTable1Light"/>
        <w:tblW w:type="auto" w:w="0"/>
        <w:jc w:val="center"/>
        <w:tblLayout w:type="autofit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Property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Value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Span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4.00 m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Width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0.50 m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Thickness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0.010 m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Pressure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1000 Pa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Material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S355 (E = 210 GPa, ν = 0.3, ρ = 7850 kg/m³)</w:t>
            </w:r>
          </w:p>
        </w:tc>
      </w:tr>
    </w:tbl>
    <w:bookmarkStart w:id="31" w:name="fig:plate_geometry_3d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: Plate strip geometry." title="" id="3" name="Picture"/>
            <a:graphic>
              <a:graphicData uri="http://schemas.openxmlformats.org/drawingml/2006/picture">
                <pic:pic>
                  <pic:nvPicPr>
                    <pic:cNvPr descr="/home/runner/work/adapy/adapy/verification/_assets/plate/plate.png" id="3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1: Plate strip geometry.</w:t>
      </w:r>
    </w:p>
    <w:bookmarkEnd w:id="30"/>
    <w:bookmarkStart w:id="32" w:name="fig:plate_geometry_stiffened_3d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: Plate strip with a T-profile stiffener on its centreline." title="" id="4" name="Picture"/>
            <a:graphic>
              <a:graphicData uri="http://schemas.openxmlformats.org/drawingml/2006/picture">
                <pic:pic>
                  <pic:nvPicPr>
                    <pic:cNvPr descr="/home/runner/work/adapy/adapy/verification/_assets/plate/plate_stiffened.png" id="4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2: Plate strip with a T-profile stiffener on its centreline.</w:t>
      </w:r>
    </w:p>
    <w:bookmarkEnd w:id="9"/>
    <w:p>
      <w:pPr>
        <w:pStyle w:val="Normal Indent"/>
        <w:spacing w:before="240"/>
        <w:ind w:left="850"/>
      </w:pPr>
      <w:r>
        <w:t xml:space="preserve">The span-to-thickness ratio is 400, so transverse shear sits several orders below the</w:t>
      </w:r>
      <w:r>
        <w:t xml:space="preserve"> </w:t>
      </w:r>
      <w:r>
        <w:t xml:space="preserve">discretisation error and the thin-plate closed forms are the right reference rather than an</w:t>
      </w:r>
      <w:r>
        <w:t xml:space="preserve"> </w:t>
      </w:r>
      <w:r>
        <w:t xml:space="preserve">approximation of one.</w:t>
      </w:r>
    </w:p>
    <w:p>
      <w:pPr>
        <w:pStyle w:val="Normal Indent"/>
        <w:spacing w:before="240"/>
        <w:ind w:left="850"/>
      </w:pPr>
      <w:r>
        <w:t xml:space="preserve">The supports are written as four node sets rather than one per edge. Simple support and</w:t>
      </w:r>
      <w:r>
        <w:t xml:space="preserve"> </w:t>
      </w:r>
      <w:r>
        <w:t xml:space="preserve">cylindrical bending overlap at the four corners, and the obvious spelling constrains</w:t>
      </w:r>
      <w:r>
        <w:t xml:space="preserve"> </w:t>
      </w:r>
      <w:r>
        <w:rPr>
          <w:rStyle w:val="VerbatimChar"/>
        </w:rPr>
        <w:t xml:space="preserve">u2</w:t>
      </w:r>
      <w:r>
        <w:t xml:space="preserve"> </w:t>
      </w:r>
      <w:r>
        <w:t xml:space="preserve">twice there: Abaqus and Sestra accept that, while Code_Aster refuses it outright</w:t>
      </w:r>
      <w:r>
        <w:t xml:space="preserve"> </w:t>
      </w:r>
      <w:r>
        <w:t xml:space="preserve">(</w:t>
      </w:r>
      <w:r>
        <w:rPr>
          <w:rStyle w:val="VerbatimChar"/>
        </w:rPr>
        <w:t xml:space="preserve">&lt;ASSEMBLA_26&gt; … est bloqué plusieurs fois</w:t>
      </w:r>
      <w:r>
        <w:t xml:space="preserve">). A model that only some solvers will read is not</w:t>
      </w:r>
      <w:r>
        <w:t xml:space="preserve"> </w:t>
      </w:r>
      <w:r>
        <w:t xml:space="preserve">a cross-solver case, so the corner nodes carry only the rotation the long edges add.</w:t>
      </w:r>
    </w:p>
    <w:bookmarkEnd w:id="31"/>
    <w:bookmarkStart w:id="33" w:name="static-analysis-under-pressure"/>
    <w:p>
      <w:pPr>
        <w:pStyle w:val="Heading3"/>
      </w:pPr>
      <w:r>
        <w:t xml:space="preserve">Static analysis under pressure</w:t>
      </w:r>
    </w:p>
    <w:p>
      <w:pPr>
        <w:pStyle w:val="NormalIndent"/>
        <w:spacing w:before="40"/>
        <w:ind w:left="850"/>
      </w:pPr>
      <w:r>
        <w:t xml:space="preserve">The static case is the only one that reaches the distributed-load records — Abaqus’</w:t>
      </w:r>
      <w:r>
        <w:t xml:space="preserve"> </w:t>
      </w:r>
      <w:r>
        <w:rPr>
          <w:rStyle w:val="VerbatimChar"/>
        </w:rPr>
        <w:t xml:space="preserve">*Dsload</w:t>
      </w:r>
      <w:r>
        <w:t xml:space="preserve">, Calculix’</w:t>
      </w:r>
      <w:r>
        <w:t xml:space="preserve"> </w:t>
      </w:r>
      <w:r>
        <w:rPr>
          <w:rStyle w:val="VerbatimChar"/>
        </w:rPr>
        <w:t xml:space="preserve">*DLOAD</w:t>
      </w:r>
      <w:r>
        <w:t xml:space="preserve">, Code_Aster’s</w:t>
      </w:r>
      <w:r>
        <w:t xml:space="preserve"> </w:t>
      </w:r>
      <w:r>
        <w:rPr>
          <w:rStyle w:val="VerbatimChar"/>
        </w:rPr>
        <w:t xml:space="preserve">FORCE_COQUE</w:t>
      </w:r>
      <w:r>
        <w:t xml:space="preserve"> </w:t>
      </w:r>
      <w:r>
        <w:t xml:space="preserve">and Sesam’s</w:t>
      </w:r>
      <w:r>
        <w:t xml:space="preserve"> </w:t>
      </w:r>
      <w:r>
        <w:rPr>
          <w:rStyle w:val="VerbatimChar"/>
        </w:rPr>
        <w:t xml:space="preserve">BEUSLO</w:t>
      </w:r>
      <w:r>
        <w:t xml:space="preserve">. The</w:t>
      </w:r>
      <w:r>
        <w:t xml:space="preserve"> </w:t>
      </w:r>
      <w:r>
        <w:t xml:space="preserve">eigenvalue analyses reach the mass and stiffness matrices and nothing else, so a pressure</w:t>
      </w:r>
      <w:r>
        <w:t xml:space="preserve"> </w:t>
      </w:r>
      <w:r>
        <w:t xml:space="preserve">written wrongly is invisible to them.</w:t>
      </w:r>
    </w:p>
    <w:p>
      <w:pPr>
        <w:pStyle w:val="Normal Indent"/>
        <w:spacing w:before="240"/>
        <w:ind w:left="850"/>
      </w:pPr>
      <w:r>
        <w:t xml:space="preserve">Mid-span deflection against the closed form</w:t>
      </w:r>
      <w:r>
        <w:t xml:space="preserve"> </w:t>
      </w:r>
      <w:r>
        <w:rPr>
          <w:rStyle w:val="VerbatimChar"/>
        </w:rPr>
        <w:t xml:space="preserve">5 q L⁴ / (384 D)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D = E t³ / (12 (1 − ν²))</w:t>
      </w:r>
      <w:r>
        <w:t xml:space="preserve"> </w:t>
      </w:r>
      <w:r>
        <w:t xml:space="preserve">— which evaluates to 0.173333 m for</w:t>
      </w:r>
      <w:r>
        <w:t xml:space="preserve"> </w:t>
      </w:r>
      <w:r>
        <w:t xml:space="preserve">this strip. Halving the seed should quarter the remaining error; the three rows are a factor</w:t>
      </w:r>
      <w:r>
        <w:t xml:space="preserve"> </w:t>
      </w:r>
      <w:r>
        <w:t xml:space="preserve">of two apart so the order is readable off the table rather than asserted.</w:t>
      </w:r>
    </w:p>
    <w:bookmarkStart w:id="34" w:name="tbl:plate_static_stFalse"/>
    <w:p>
      <w:bookmarkStart w:id="35" w:name="_Ref615197313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"Heading 1"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35"/>
      <w:r>
        <w:rPr>
          <w:rFonts w:ascii="Arial" w:hAnsi="Arial"/>
        </w:rPr>
        <w:t>: Plate strip mid-span deflection [m] under 1 kPa, by solver and mesh seed. The closed form is 5 q L^4 / (384 D) for a strip in cylindrical bending.</w:t>
      </w:r>
      <w:r>
        <w:rPr>
          <w:rFonts w:ascii="Arial" w:hAnsi="Arial"/>
        </w:rPr>
      </w:r>
    </w:p>
    <w:tbl>
      <w:tblPr>
        <w:tblStyle w:val="GridTable1Light"/>
        <w:tblW w:type="pct" w:w="4740"/>
        <w:jc w:val="center"/>
        <w:tblLayout w:type="autofit"/>
        <w:tblLook w:firstRow="1" w:lastRow="0" w:firstColumn="0" w:lastColumn="0" w:noHBand="0" w:noVBand="0" w:val="0020"/>
        <w:tblCaption w:val="Table 1: Plate strip mid-span deflection [m] under 1 kPa, by solver and mesh seed. The closed form is 5 q L^4 / (384 D) for a strip in cylindrical bending."/>
      </w:tblPr>
      <w:tblGrid>
        <w:gridCol w:w="1337"/>
        <w:gridCol w:w="1131"/>
        <w:gridCol w:w="1131"/>
        <w:gridCol w:w="1131"/>
        <w:gridCol w:w="1131"/>
        <w:gridCol w:w="1645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Seed [m]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closed form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0.173065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0.173198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0.173065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0.173198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0.173333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0.0625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0.173269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0.173299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0.173268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0.173299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0.173333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0.03125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0.173319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0.173325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0.173319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0.173325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0.173333</w:t>
            </w:r>
          </w:p>
        </w:tc>
      </w:tr>
    </w:tbl>
    <w:bookmarkEnd w:id="33"/>
    <w:p>
      <w:pPr>
        <w:pStyle w:val="Normal Indent"/>
        <w:spacing w:before="240"/>
        <w:ind w:left="850"/>
      </w:pPr>
      <w:r>
        <w:t xml:space="preserve">The same strip with a T-profile stiffener along its centreline, meshed as line elements</w:t>
      </w:r>
      <w:r>
        <w:t xml:space="preserve"> </w:t>
      </w:r>
      <w:r>
        <w:t xml:space="preserve">sharing the shells’ nodes. There is no closed form for it — a parallel-spring estimate is not</w:t>
      </w:r>
      <w:r>
        <w:t xml:space="preserve"> </w:t>
      </w:r>
      <w:r>
        <w:t xml:space="preserve">one — so this is an agreement case between solvers, and it is what carries a T section through</w:t>
      </w:r>
      <w:r>
        <w:t xml:space="preserve"> </w:t>
      </w:r>
      <w:r>
        <w:t xml:space="preserve">the deck writers.</w:t>
      </w:r>
    </w:p>
    <w:bookmarkStart w:id="36" w:name="tbl:plate_static_stTrue"/>
    <w:p>
      <w:bookmarkStart w:id="37" w:name="_Ref953980859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"Heading 1"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37"/>
      <w:r>
        <w:rPr>
          <w:rFonts w:ascii="Arial" w:hAnsi="Arial"/>
        </w:rPr>
        <w:t>: The same strip with a T-profile stiffener on its centreline [m]. No closed form: this is a cross-solver agreement case.</w:t>
      </w:r>
      <w:r>
        <w:rPr>
          <w:rFonts w:ascii="Arial" w:hAnsi="Arial"/>
        </w:rPr>
      </w:r>
    </w:p>
    <w:tbl>
      <w:tblPr>
        <w:tblStyle w:val="GridTable1Light"/>
        <w:tblW w:type="pct" w:w="3819"/>
        <w:jc w:val="center"/>
        <w:tblLayout w:type="autofit"/>
        <w:tblLook w:firstRow="1" w:lastRow="0" w:firstColumn="0" w:lastColumn="0" w:noHBand="0" w:noVBand="0" w:val="0020"/>
        <w:tblCaption w:val="Table 2: The same strip with a T-profile stiffener on its centreline [m]. No closed form: this is a cross-solver agreement case."/>
      </w:tblPr>
      <w:tblGrid>
        <w:gridCol w:w="1430"/>
        <w:gridCol w:w="1540"/>
        <w:gridCol w:w="1540"/>
        <w:gridCol w:w="1540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Seed [m]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aba_st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ca_st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ses_st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0.000584531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0.000710295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0.00073971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0.0625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0.000585478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0.000710711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0.000738964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0.03125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0.000585996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0.000710815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0.000736999</w:t>
            </w:r>
          </w:p>
        </w:tc>
      </w:tr>
    </w:tbl>
    <w:bookmarkEnd w:id="35"/>
    <w:bookmarkStart w:id="38" w:name="sign-convention"/>
    <w:p>
      <w:pPr>
        <w:pStyle w:val="Heading4"/>
        <w:spacing w:before="440"/>
      </w:pPr>
      <w:r>
        <w:t xml:space="preserve">Sign convention</w:t>
      </w:r>
    </w:p>
    <w:p>
      <w:pPr>
        <w:pStyle w:val="NormalIndent"/>
        <w:spacing w:before="40"/>
        <w:ind w:left="850"/>
      </w:pPr>
      <w:r>
        <w:t xml:space="preserve">Every writer above places a positive pressure so that it pushes</w:t>
      </w:r>
      <w:r>
        <w:t xml:space="preserve"> </w:t>
      </w:r>
      <w:r>
        <w:rPr>
          <w:b/>
          <w:bCs/>
        </w:rPr>
        <w:t xml:space="preserve">into</w:t>
      </w:r>
      <w:r>
        <w:t xml:space="preserve"> </w:t>
      </w:r>
      <w:r>
        <w:t xml:space="preserve">the face it names.</w:t>
      </w:r>
      <w:r>
        <w:t xml:space="preserve"> </w:t>
      </w:r>
      <w:r>
        <w:t xml:space="preserve">That is Abaqus’ convention, and it has to be shared, because a load direction that depends on</w:t>
      </w:r>
      <w:r>
        <w:t xml:space="preserve"> </w:t>
      </w:r>
      <w:r>
        <w:t xml:space="preserve">the output format makes a cross-solver comparison meaningless.</w:t>
      </w:r>
    </w:p>
    <w:p>
      <w:pPr>
        <w:pStyle w:val="Normal Indent"/>
        <w:spacing w:before="240"/>
        <w:ind w:left="850"/>
      </w:pPr>
      <w:r>
        <w:t xml:space="preserve">It is worth stating which face that is, because it is not a global direction: gmsh winds every</w:t>
      </w:r>
      <w:r>
        <w:t xml:space="preserve"> </w:t>
      </w:r>
      <w:r>
        <w:t xml:space="preserve">element of this strip with its normal along −z, so the positive face looks</w:t>
      </w:r>
      <w:r>
        <w:t xml:space="preserve"> </w:t>
      </w:r>
      <w:r>
        <w:rPr>
          <w:i/>
          <w:iCs/>
        </w:rPr>
        <w:t xml:space="preserve">down</w:t>
      </w:r>
      <w:r>
        <w:t xml:space="preserve"> </w:t>
      </w:r>
      <w:r>
        <w:t xml:space="preserve">and a</w:t>
      </w:r>
      <w:r>
        <w:t xml:space="preserve"> </w:t>
      </w:r>
      <w:r>
        <w:t xml:space="preserve">positive pressure on it moves the strip</w:t>
      </w:r>
      <w:r>
        <w:t xml:space="preserve"> </w:t>
      </w:r>
      <w:r>
        <w:rPr>
          <w:i/>
          <w:iCs/>
        </w:rPr>
        <w:t xml:space="preserve">up</w:t>
      </w:r>
      <w:r>
        <w:t xml:space="preserve">. The deflections above are therefore positive.</w:t>
      </w:r>
      <w:r>
        <w:t xml:space="preserve"> </w:t>
      </w:r>
      <w:r>
        <w:rPr>
          <w:rStyle w:val="VerbatimChar"/>
        </w:rPr>
        <w:t xml:space="preserve">tests/fem/test_pressure_load_cross_format.py</w:t>
      </w:r>
      <w:r>
        <w:t xml:space="preserve"> </w:t>
      </w:r>
      <w:r>
        <w:t xml:space="preserve">pins this per format.</w:t>
      </w:r>
    </w:p>
    <w:bookmarkEnd w:id="36"/>
    <w:bookmarkEnd w:id="37"/>
    <w:bookmarkStart w:id="8" w:name="eigenvalue-analysis"/>
    <w:p>
      <w:pPr>
        <w:pStyle w:val="Heading3"/>
      </w:pPr>
      <w:r>
        <w:t xml:space="preserve">Eigenvalue analysis</w:t>
      </w:r>
    </w:p>
    <w:p>
      <w:pPr>
        <w:pStyle w:val="NormalIndent"/>
        <w:spacing w:before="40"/>
        <w:ind w:left="850"/>
      </w:pPr>
      <w:r>
        <w:t xml:space="preserve">The same plate, as an eigenvalue analysis, against</w:t>
      </w:r>
      <w:r>
        <w:t xml:space="preserve"> </w:t>
      </w:r>
      <w:r>
        <w:rPr>
          <w:rStyle w:val="VerbatimChar"/>
        </w:rPr>
        <w:t xml:space="preserve">f_n = n² π / (2 L²) √(D / (ρ t))</w:t>
      </w:r>
      <w:r>
        <w:t xml:space="preserve"> </w:t>
      </w:r>
      <w:r>
        <w:t xml:space="preserve">— the simply supported beam frequencies with the beam’s</w:t>
      </w:r>
      <w:r>
        <w:t xml:space="preserve"> </w:t>
      </w:r>
      <w:r>
        <w:rPr>
          <w:rStyle w:val="VerbatimChar"/>
        </w:rPr>
        <w:t xml:space="preserve">EI / (ρ A)</w:t>
      </w:r>
      <w:r>
        <w:t xml:space="preserve"> </w:t>
      </w:r>
      <w:r>
        <w:t xml:space="preserve">replaced by the strip’s</w:t>
      </w:r>
      <w:r>
        <w:t xml:space="preserve"> </w:t>
      </w:r>
      <w:r>
        <w:rPr>
          <w:rStyle w:val="VerbatimChar"/>
        </w:rPr>
        <w:t xml:space="preserve">D / (ρ t)</w:t>
      </w:r>
      <w:r>
        <w:t xml:space="preserve">. Valid for the cylindrical modes, which are</w:t>
      </w:r>
      <w:r>
        <w:t xml:space="preserve"> </w:t>
      </w:r>
      <w:r>
        <w:t xml:space="preserve">the ones the long-edge constraint admits.</w:t>
      </w:r>
    </w:p>
    <w:bookmarkStart w:id="39" w:name="tbl:plate_eig_compare"/>
    <w:p>
      <w:bookmarkStart w:id="40" w:name="_Ref329197611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"Heading 1"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40"/>
      <w:r>
        <w:rPr>
          <w:rFonts w:ascii="Arial" w:hAnsi="Arial"/>
        </w:rPr>
        <w:t>: Plate strip eigenfrequencies [Hz], by solver, at a 0.0625 m seed. The closed form is f_n = n^2 pi / (2 L^2) sqrt(D / (rho t)), valid for the cylindrical modes the long-edge constraint admits.</w:t>
      </w:r>
      <w:r>
        <w:rPr>
          <w:rFonts w:ascii="Arial" w:hAnsi="Arial"/>
        </w:rPr>
      </w:r>
    </w:p>
    <w:tbl>
      <w:tblPr>
        <w:tblStyle w:val="GridTable1Light"/>
        <w:tblW w:type="pct" w:w="4444"/>
        <w:jc w:val="center"/>
        <w:tblLayout w:type="autofit"/>
        <w:tblLook w:firstRow="1" w:lastRow="0" w:firstColumn="0" w:lastColumn="0" w:noHBand="0" w:noVBand="0" w:val="0020"/>
        <w:tblCaption w:val="Table 3: Plate strip eigenfrequencies [Hz], by solver, at a 0.0625 m seed. The closed form is f_n = n^2 pi / (2 L^2) sqrt(D / (rho t)), valid for the cylindrical modes the long-edge constraint admits."/>
      </w:tblPr>
      <w:tblGrid>
        <w:gridCol w:w="990"/>
        <w:gridCol w:w="990"/>
        <w:gridCol w:w="1100"/>
        <w:gridCol w:w="1100"/>
        <w:gridCol w:w="1100"/>
        <w:gridCol w:w="1760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closed form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1.5371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1.53661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1.53675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1.53661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1.53661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6.1536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6.14644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6.14861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6.14644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6.14644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13.866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13.8295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13.8405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13.8295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13.8295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24.5858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24.6205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24.5858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24.5857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38.695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38.4153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38.5002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38.4153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38.4152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55.9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55.3181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55.4943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55.3182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55.3179</w:t>
            </w:r>
          </w:p>
        </w:tc>
      </w:tr>
    </w:tbl>
    <w:bookmarkEnd w:id="8"/>
    <w:p>
      <w:pPr>
        <w:pStyle w:val="Normal Indent"/>
        <w:spacing w:before="240"/>
        <w:ind w:left="850"/>
      </w:pPr>
      <w:r>
        <w:t xml:space="preserve">Short description of the solver column names:</w:t>
      </w:r>
    </w:p>
    <w:p>
      <w:pPr>
        <w:pStyle w:val="Bulleted list"/>
        <w:numPr>
          <w:ilvl w:val="0"/>
          <w:numId w:val="18"/>
        </w:numPr>
        <w:spacing w:before="240"/>
        <w:ind w:left="1644"/>
      </w:pPr>
      <w:r>
        <w:t xml:space="preserve">ccx: Calculix</w:t>
      </w:r>
    </w:p>
    <w:p>
      <w:pPr>
        <w:pStyle w:val="Bulleted list"/>
        <w:numPr>
          <w:ilvl w:val="0"/>
          <w:numId w:val="18"/>
        </w:numPr>
        <w:ind w:left="1644"/>
      </w:pPr>
      <w:r>
        <w:t xml:space="preserve">ca: Code Aster</w:t>
      </w:r>
    </w:p>
    <w:p>
      <w:pPr>
        <w:pStyle w:val="Bulleted list"/>
        <w:numPr>
          <w:ilvl w:val="0"/>
          <w:numId w:val="18"/>
        </w:numPr>
        <w:ind w:left="1644"/>
      </w:pPr>
      <w:r>
        <w:t xml:space="preserve">ses: Sesam</w:t>
      </w:r>
    </w:p>
    <w:p>
      <w:pPr>
        <w:pStyle w:val="Bulleted list"/>
        <w:numPr>
          <w:ilvl w:val="0"/>
          <w:numId w:val="18"/>
        </w:numPr>
        <w:spacing w:after="240"/>
        <w:ind w:left="1644"/>
      </w:pPr>
      <w:r>
        <w:t xml:space="preserve">aba: Abaqus</w:t>
      </w:r>
    </w:p>
    <w:p>
      <w:pPr>
        <w:pStyle w:val="NormalIndent"/>
        <w:spacing w:before="40"/>
        <w:ind w:left="850"/>
      </w:pPr>
      <w:r>
        <w:t xml:space="preserve">A</w:t>
      </w:r>
      <w:r>
        <w:t xml:space="preserve"> </w:t>
      </w:r>
      <w:r>
        <w:rPr>
          <w:rStyle w:val="VerbatimChar"/>
        </w:rPr>
        <w:t xml:space="preserve">_st</w:t>
      </w:r>
      <w:r>
        <w:t xml:space="preserve"> </w:t>
      </w:r>
      <w:r>
        <w:t xml:space="preserve">suffix marks the stiffened variant.</w:t>
      </w:r>
    </w:p>
    <w:bookmarkEnd w:id="39"/>
    <w:bookmarkEnd w:id="40"/>
    <w:p>
      <w:r>
        <w:br w:type="page"/>
      </w:r>
    </w:p>
    <w:p>
      <w:r>
        <w:br w:type="page"/>
      </w:r>
    </w:p>
    <w:p w14:paraId="41370761" w14:textId="2A6AEE1B" w:rsidR="002F400B" w:rsidRPr="001B701D" w:rsidRDefault="002F400B" w:rsidP="001B701D"/>
    <w:bookmarkStart w:id="41" w:name="detailed-results"/>
    <w:p>
      <w:pPr>
        <w:pStyle w:val="Appendix"/>
        <w:spacing w:before="40"/>
        <w:ind w:left="850"/>
        <w:numPr>
          <w:ilvl w:val="0"/>
          <w:numId w:val="19"/>
        </w:numPr>
      </w:pPr>
      <w:r>
        <w:t xml:space="preserve">Detailed results</w:t>
      </w:r>
    </w:p>
    <w:p>
      <w:pPr>
        <w:pStyle w:val="NormalIndent"/>
        <w:spacing w:before="40"/>
        <w:ind w:left="850"/>
      </w:pPr>
      <w:r>
        <w:t xml:space="preserve">Mode shapes and deflected shapes from every format that ran on the machine that built this report,</w:t>
      </w:r>
      <w:r>
        <w:t xml:space="preserve"> </w:t>
      </w:r>
      <w:r>
        <w:t xml:space="preserve">laid out so the formats can be read against each other: one section per mesh configuration, one</w:t>
      </w:r>
      <w:r>
        <w:t xml:space="preserve"> </w:t>
      </w:r>
      <w:r>
        <w:t xml:space="preserve">heading per mode, and the formats side by side under it. A swapped mode pair or a differently</w:t>
      </w:r>
      <w:r>
        <w:t xml:space="preserve"> </w:t>
      </w:r>
      <w:r>
        <w:t xml:space="preserve">deflected shape shows up as two pictures that do not match.</w:t>
      </w:r>
    </w:p>
    <w:p>
      <w:pPr>
        <w:pStyle w:val="NormalIndent"/>
        <w:spacing w:before="40"/>
        <w:ind w:left="850"/>
      </w:pPr>
      <w:r>
        <w:t xml:space="preserve">Abaqus and Sesam cannot run where this report is built. Their mode shapes are the raw results a</w:t>
      </w:r>
      <w:r>
        <w:t xml:space="preserve"> </w:t>
      </w:r>
      <w:r>
        <w:t xml:space="preserve">licensed machine committed beside its cached frequencies, and the figures are rendered from them</w:t>
      </w:r>
      <w:r>
        <w:t xml:space="preserve"> </w:t>
      </w:r>
      <w:r>
        <w:t xml:space="preserve">here; a case with no committed results has no figures. Solver versions: Abaqus v2025,</w:t>
      </w:r>
      <w:r>
        <w:t xml:space="preserve"> </w:t>
      </w:r>
      <w:r>
        <w:t xml:space="preserve">Calculix v2.23, Code Aster v18.1.7, Sesam v11.3.1.0.</w:t>
      </w:r>
    </w:p>
    <w:bookmarkStart w:id="42" w:name="cantilever-modal-participation"/>
    <w:p>
      <w:pPr>
        <w:pStyle w:val="AppendixX1"/>
        <w:spacing w:before="40"/>
        <w:ind w:left="850"/>
        <w:numPr>
          <w:ilvl w:val="0"/>
          <w:numId w:val="20"/>
        </w:numPr>
      </w:pPr>
      <w:r>
        <w:t xml:space="preserve">Cantilever modal participation</w:t>
      </w:r>
    </w:p>
    <w:p>
      <w:pPr>
        <w:pStyle w:val="NormalIndent"/>
        <w:spacing w:before="40"/>
        <w:ind w:left="850"/>
      </w:pPr>
      <w:r>
        <w:t xml:space="preserve">Per-mode effective modal mass and participation factors in the global X / Y / Z directions, for</w:t>
      </w:r>
      <w:r>
        <w:t xml:space="preserve"> </w:t>
      </w:r>
      <w:r>
        <w:t xml:space="preserve">every mesh configuration, with the formats side by side. Code Aster and Sesam report the</w:t>
      </w:r>
      <w:r>
        <w:t xml:space="preserve"> </w:t>
      </w:r>
      <w:r>
        <w:t xml:space="preserve">translational directions only.</w:t>
      </w:r>
    </w:p>
    <w:p>
      <w:pPr>
        <w:pStyle w:val="NormalIndent"/>
        <w:spacing w:before="40"/>
        <w:ind w:left="850"/>
      </w:pPr>
      <w:r>
        <w:t xml:space="preserve">A participation factor Γ is relative to how the solver normalised its eigenvectors: Abaqus scales</w:t>
      </w:r>
      <w:r>
        <w:t xml:space="preserve"> </w:t>
      </w:r>
      <w:r>
        <w:t xml:space="preserve">the largest displacement to 1, the others scale to unit generalised mass. Raw factors from</w:t>
      </w:r>
      <w:r>
        <w:t xml:space="preserve"> </w:t>
      </w:r>
      <w:r>
        <w:t xml:space="preserve">different solvers therefore do not compare. The tables give the factor scaled to unit generalised</w:t>
      </w:r>
      <w:r>
        <w:t xml:space="preserve"> </w:t>
      </w:r>
      <w:r>
        <w:t xml:space="preserve">mass, sign(Γ)·√Meff, which is what the others report as-is. Its sign is the solver’s choice of</w:t>
      </w:r>
      <w:r>
        <w:t xml:space="preserve"> </w:t>
      </w:r>
      <w:r>
        <w:t xml:space="preserve">eigenvector sign and may differ from mode to mode. The effective mass Meff = Γ²·m_gen does not</w:t>
      </w:r>
      <w:r>
        <w:t xml:space="preserve"> </w:t>
      </w:r>
      <w:r>
        <w:t xml:space="preserve">depend on the normalisation.</w:t>
      </w:r>
    </w:p>
    <w:bookmarkStart w:id="43" w:name="solid-1st-order"/>
    <w:p>
      <w:pPr>
        <w:pStyle w:val="AppendixX2"/>
        <w:spacing w:before="40"/>
        <w:ind w:left="850"/>
        <w:numPr>
          <w:ilvl w:val="0"/>
          <w:numId w:val="21"/>
        </w:numPr>
      </w:pPr>
      <w:r>
        <w:t xml:space="preserve">Solid, 1st order</w:t>
      </w:r>
    </w:p>
    <w:bookmarkStart w:id="44" w:name="tbl:eig_compare_solid_o1_meff"/>
    <w:p>
      <w:bookmarkStart w:id="45" w:name="_Ref128773901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"Appendix"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\r 1 \s 1 </w:instrText>
        <w:fldChar w:fldCharType="separate"/>
        <w:t>1</w:t>
        <w:fldChar w:fldCharType="end"/>
      </w:r>
      <w:bookmarkEnd w:id="45"/>
      <w:r>
        <w:rPr>
          <w:rFonts w:ascii="Arial" w:hAnsi="Arial"/>
        </w:rPr>
        <w:t>: Effective modal mass [kg] per mode, global X/Y/Z — solid, order 1.</w:t>
      </w:r>
      <w:r>
        <w:rPr>
          <w:rFonts w:ascii="Arial" w:hAnsi="Arial"/>
        </w:rPr>
      </w:r>
    </w:p>
    <w:tbl>
      <w:tblPr>
        <w:tblStyle w:val="GridTable1Light"/>
        <w:tblW w:type="pct" w:w="4669"/>
        <w:jc w:val="center"/>
        <w:tblLayout w:type="autofit"/>
        <w:tblLook w:firstRow="1" w:lastRow="0" w:firstColumn="0" w:lastColumn="0" w:noHBand="0" w:noVBand="0" w:val="0020"/>
        <w:tblCaption w:val="Table 1: Effective modal mass [kg] per mode, global X/Y/Z — solid, order 1."/>
      </w:tblPr>
      <w:tblGrid>
        <w:gridCol w:w="429"/>
        <w:gridCol w:w="667"/>
        <w:gridCol w:w="572"/>
        <w:gridCol w:w="572"/>
        <w:gridCol w:w="620"/>
        <w:gridCol w:w="572"/>
        <w:gridCol w:w="572"/>
        <w:gridCol w:w="572"/>
        <w:gridCol w:w="524"/>
        <w:gridCol w:w="572"/>
        <w:gridCol w:w="524"/>
        <w:gridCol w:w="620"/>
        <w:gridCol w:w="57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Direction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ca_HEXR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117.5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117.5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34.9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34.9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39.8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39.7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31.4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39.9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</w:tbl>
    <w:bookmarkEnd w:id="42"/>
    <w:p>
      <w:pPr>
        <w:spacing w:before="440"/>
      </w:pPr>
    </w:p>
    <w:bookmarkStart w:id="46" w:name="tbl:eig_compare_solid_o1_pf"/>
    <w:p>
      <w:bookmarkStart w:id="47" w:name="_Ref425151378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"Appendix"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47"/>
      <w:r>
        <w:rPr>
          <w:rFonts w:ascii="Arial" w:hAnsi="Arial"/>
        </w:rPr>
        <w:t>: Participation factor per mode scaled to unit generalised mass [√kg], global X/Y/Z — solid, order 1.</w:t>
      </w:r>
      <w:r>
        <w:rPr>
          <w:rFonts w:ascii="Arial" w:hAnsi="Arial"/>
        </w:rPr>
      </w:r>
    </w:p>
    <w:tbl>
      <w:tblPr>
        <w:tblStyle w:val="GridTable1Light"/>
        <w:tblW w:type="pct" w:w="4669"/>
        <w:jc w:val="center"/>
        <w:tblLayout w:type="autofit"/>
        <w:tblLook w:firstRow="1" w:lastRow="0" w:firstColumn="0" w:lastColumn="0" w:noHBand="0" w:noVBand="0" w:val="0020"/>
        <w:tblCaption w:val="Table 2: Participation factor per mode scaled to unit generalised mass [√kg], global X/Y/Z — solid, order 1."/>
      </w:tblPr>
      <w:tblGrid>
        <w:gridCol w:w="429"/>
        <w:gridCol w:w="667"/>
        <w:gridCol w:w="572"/>
        <w:gridCol w:w="572"/>
        <w:gridCol w:w="620"/>
        <w:gridCol w:w="572"/>
        <w:gridCol w:w="572"/>
        <w:gridCol w:w="572"/>
        <w:gridCol w:w="524"/>
        <w:gridCol w:w="572"/>
        <w:gridCol w:w="524"/>
        <w:gridCol w:w="620"/>
        <w:gridCol w:w="57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Direction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ca_HEXR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-10.841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10.788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-10.871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0.022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-10.876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-10.884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5.911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5.961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-5.961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5.995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0.069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-1.456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-0.075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6.004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-3.549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-0.084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6.313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3.642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-5.603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3.638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-3.576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3.577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0.192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0.207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0.226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0.057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-1.788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-1.671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2.99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6.327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0.071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12.384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12.385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12.384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12.386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12.389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-0.503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-2.518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-2.385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-2.515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-2.462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-2.464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-0.619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-0.115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0.064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0.064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-6.318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12.391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-12.385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12.388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0.086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-3.572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3.576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-3.578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</w:tr>
    </w:tbl>
    <w:bookmarkEnd w:id="44"/>
    <w:bookmarkEnd w:id="45"/>
    <w:bookmarkStart w:id="48" w:name="solid-2nd-order"/>
    <w:p>
      <w:pPr>
        <w:pStyle w:val="AppendixX2"/>
        <w:spacing w:before="40"/>
        <w:ind w:left="850"/>
      </w:pPr>
      <w:r>
        <w:t xml:space="preserve">Solid, 2nd order</w:t>
      </w:r>
    </w:p>
    <w:bookmarkStart w:id="49" w:name="tbl:eig_compare_solid_o2_meff"/>
    <w:p>
      <w:bookmarkStart w:id="50" w:name="_Ref948317480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"Appendix"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50"/>
      <w:r>
        <w:rPr>
          <w:rFonts w:ascii="Arial" w:hAnsi="Arial"/>
        </w:rPr>
        <w:t>: Effective modal mass [kg] per mode, global X/Y/Z — solid, order 2.</w:t>
      </w:r>
      <w:r>
        <w:rPr>
          <w:rFonts w:ascii="Arial" w:hAnsi="Arial"/>
        </w:rPr>
      </w:r>
    </w:p>
    <w:tbl>
      <w:tblPr>
        <w:tblStyle w:val="GridTable1Light"/>
        <w:tblW w:type="pct" w:w="4669"/>
        <w:jc w:val="center"/>
        <w:tblLayout w:type="autofit"/>
        <w:tblLook w:firstRow="1" w:lastRow="0" w:firstColumn="0" w:lastColumn="0" w:noHBand="0" w:noVBand="0" w:val="0020"/>
        <w:tblCaption w:val="Table 3: Effective modal mass [kg] per mode, global X/Y/Z — solid, order 2."/>
      </w:tblPr>
      <w:tblGrid>
        <w:gridCol w:w="429"/>
        <w:gridCol w:w="667"/>
        <w:gridCol w:w="572"/>
        <w:gridCol w:w="572"/>
        <w:gridCol w:w="620"/>
        <w:gridCol w:w="572"/>
        <w:gridCol w:w="572"/>
        <w:gridCol w:w="572"/>
        <w:gridCol w:w="524"/>
        <w:gridCol w:w="572"/>
        <w:gridCol w:w="524"/>
        <w:gridCol w:w="620"/>
        <w:gridCol w:w="57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Direction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ca_HEXR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35.9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40.3</w:t>
            </w:r>
          </w:p>
        </w:tc>
      </w:tr>
    </w:tbl>
    <w:bookmarkEnd w:id="47"/>
    <w:p>
      <w:pPr>
        <w:spacing w:before="440"/>
      </w:pPr>
    </w:p>
    <w:bookmarkStart w:id="51" w:name="tbl:eig_compare_solid_o2_pf"/>
    <w:p>
      <w:bookmarkStart w:id="52" w:name="_Ref380070278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"Appendix"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52"/>
      <w:r>
        <w:rPr>
          <w:rFonts w:ascii="Arial" w:hAnsi="Arial"/>
        </w:rPr>
        <w:t>: Participation factor per mode scaled to unit generalised mass [√kg], global X/Y/Z — solid, order 2.</w:t>
      </w:r>
      <w:r>
        <w:rPr>
          <w:rFonts w:ascii="Arial" w:hAnsi="Arial"/>
        </w:rPr>
      </w:r>
    </w:p>
    <w:tbl>
      <w:tblPr>
        <w:tblStyle w:val="GridTable1Light"/>
        <w:tblW w:type="pct" w:w="4669"/>
        <w:jc w:val="center"/>
        <w:tblLayout w:type="autofit"/>
        <w:tblLook w:firstRow="1" w:lastRow="0" w:firstColumn="0" w:lastColumn="0" w:noHBand="0" w:noVBand="0" w:val="0020"/>
        <w:tblCaption w:val="Table 4: Participation factor per mode scaled to unit generalised mass [√kg], global X/Y/Z — solid, order 2."/>
      </w:tblPr>
      <w:tblGrid>
        <w:gridCol w:w="429"/>
        <w:gridCol w:w="667"/>
        <w:gridCol w:w="572"/>
        <w:gridCol w:w="572"/>
        <w:gridCol w:w="620"/>
        <w:gridCol w:w="572"/>
        <w:gridCol w:w="572"/>
        <w:gridCol w:w="572"/>
        <w:gridCol w:w="524"/>
        <w:gridCol w:w="572"/>
        <w:gridCol w:w="524"/>
        <w:gridCol w:w="620"/>
        <w:gridCol w:w="57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Direction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ca_TET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ca_HEX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ccx_HEXR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ca_HEXR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-10.794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-10.794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10.882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10.882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10.882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-5.991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-5.992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-0.097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-1.839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-1.768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1.768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1.799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1.799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-2.305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-2.406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2.436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2.304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0.774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0.747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-0.747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1.267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-1.267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1.267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-1.213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6.344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6.346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6.345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6.345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-6.345</w:t>
            </w:r>
          </w:p>
        </w:tc>
      </w:tr>
    </w:tbl>
    <w:bookmarkEnd w:id="49"/>
    <w:bookmarkEnd w:id="50"/>
    <w:bookmarkStart w:id="53" w:name="shell-1st-order"/>
    <w:p>
      <w:pPr>
        <w:pStyle w:val="AppendixX2"/>
        <w:spacing w:before="40"/>
        <w:ind w:left="850"/>
      </w:pPr>
      <w:r>
        <w:t xml:space="preserve">Shell, 1st order</w:t>
      </w:r>
    </w:p>
    <w:bookmarkStart w:id="54" w:name="tbl:eig_compare_shell_o1_meff"/>
    <w:p>
      <w:bookmarkStart w:id="55" w:name="_Ref152292713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"Appendix"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55"/>
      <w:r>
        <w:rPr>
          <w:rFonts w:ascii="Arial" w:hAnsi="Arial"/>
        </w:rPr>
        <w:t>: Effective modal mass [kg] per mode, global X/Y/Z — shell, order 1.</w:t>
      </w:r>
      <w:r>
        <w:rPr>
          <w:rFonts w:ascii="Arial" w:hAnsi="Arial"/>
        </w:rPr>
      </w:r>
    </w:p>
    <w:tbl>
      <w:tblPr>
        <w:tblStyle w:val="GridTable1Light"/>
        <w:tblW w:type="pct" w:w="4692"/>
        <w:jc w:val="center"/>
        <w:tblLayout w:type="autofit"/>
        <w:tblLook w:firstRow="1" w:lastRow="0" w:firstColumn="0" w:lastColumn="0" w:noHBand="0" w:noVBand="0" w:val="0020"/>
        <w:tblCaption w:val="Table 5: Effective modal mass [kg] per mode, global X/Y/Z — shell, order 1."/>
      </w:tblPr>
      <w:tblGrid>
        <w:gridCol w:w="488"/>
        <w:gridCol w:w="759"/>
        <w:gridCol w:w="705"/>
        <w:gridCol w:w="650"/>
        <w:gridCol w:w="759"/>
        <w:gridCol w:w="705"/>
        <w:gridCol w:w="650"/>
        <w:gridCol w:w="596"/>
        <w:gridCol w:w="705"/>
        <w:gridCol w:w="650"/>
        <w:gridCol w:w="75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Direction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aba_QUADR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ccx_QUADR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122.1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37.2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37.3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41.5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41.6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41.6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41.6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41.6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</w:t>
            </w:r>
          </w:p>
        </w:tc>
      </w:tr>
    </w:tbl>
    <w:bookmarkEnd w:id="52"/>
    <w:p>
      <w:pPr>
        <w:spacing w:before="440"/>
      </w:pPr>
    </w:p>
    <w:bookmarkStart w:id="56" w:name="tbl:eig_compare_shell_o1_pf"/>
    <w:p>
      <w:bookmarkStart w:id="57" w:name="_Ref571600704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"Appendix"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57"/>
      <w:r>
        <w:rPr>
          <w:rFonts w:ascii="Arial" w:hAnsi="Arial"/>
        </w:rPr>
        <w:t>: Participation factor per mode scaled to unit generalised mass [√kg], global X/Y/Z — shell, order 1.</w:t>
      </w:r>
      <w:r>
        <w:rPr>
          <w:rFonts w:ascii="Arial" w:hAnsi="Arial"/>
        </w:rPr>
      </w:r>
    </w:p>
    <w:tbl>
      <w:tblPr>
        <w:tblStyle w:val="GridTable1Light"/>
        <w:tblW w:type="pct" w:w="4692"/>
        <w:jc w:val="center"/>
        <w:tblLayout w:type="autofit"/>
        <w:tblLook w:firstRow="1" w:lastRow="0" w:firstColumn="0" w:lastColumn="0" w:noHBand="0" w:noVBand="0" w:val="0020"/>
        <w:tblCaption w:val="Table 6: Participation factor per mode scaled to unit generalised mass [√kg], global X/Y/Z — shell, order 1."/>
      </w:tblPr>
      <w:tblGrid>
        <w:gridCol w:w="488"/>
        <w:gridCol w:w="759"/>
        <w:gridCol w:w="705"/>
        <w:gridCol w:w="650"/>
        <w:gridCol w:w="759"/>
        <w:gridCol w:w="705"/>
        <w:gridCol w:w="650"/>
        <w:gridCol w:w="596"/>
        <w:gridCol w:w="705"/>
        <w:gridCol w:w="650"/>
        <w:gridCol w:w="75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Direction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aba_QUADR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ccx_QUADR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-10.951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10.941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-11.051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6.101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-11.046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-11.047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11.046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11.046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-11.048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11.047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-11.045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11.046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-6.067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-6.048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-6.081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-6.076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-6.104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-6.053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6.065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-3.601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-0.252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-3.561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0.263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-6.443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-1.651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-1.652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1.776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-6.446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12.568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2.383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-2.455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-2.406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-0.781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0.788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-2.388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1.269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-1.148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1.006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-6.451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6.453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6.453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3.589</w:t>
            </w:r>
          </w:p>
        </w:tc>
      </w:tr>
    </w:tbl>
    <w:bookmarkEnd w:id="54"/>
    <w:bookmarkEnd w:id="55"/>
    <w:bookmarkStart w:id="58" w:name="shell-2nd-order"/>
    <w:p>
      <w:pPr>
        <w:pStyle w:val="AppendixX2"/>
        <w:spacing w:before="40"/>
        <w:ind w:left="850"/>
      </w:pPr>
      <w:r>
        <w:t xml:space="preserve">Shell, 2nd order</w:t>
      </w:r>
    </w:p>
    <w:bookmarkStart w:id="59" w:name="tbl:eig_compare_shell_o2_meff"/>
    <w:p>
      <w:bookmarkStart w:id="60" w:name="_Ref357991668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"Appendix"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60"/>
      <w:r>
        <w:rPr>
          <w:rFonts w:ascii="Arial" w:hAnsi="Arial"/>
        </w:rPr>
        <w:t>: Effective modal mass [kg] per mode, global X/Y/Z — shell, order 2.</w:t>
      </w:r>
      <w:r>
        <w:rPr>
          <w:rFonts w:ascii="Arial" w:hAnsi="Arial"/>
        </w:rPr>
      </w:r>
    </w:p>
    <w:tbl>
      <w:tblPr>
        <w:tblStyle w:val="GridTable1Light"/>
        <w:tblW w:type="pct" w:w="4686"/>
        <w:jc w:val="center"/>
        <w:tblLayout w:type="autofit"/>
        <w:tblLook w:firstRow="1" w:lastRow="0" w:firstColumn="0" w:lastColumn="0" w:noHBand="0" w:noVBand="0" w:val="0020"/>
        <w:tblCaption w:val="Table 7: Effective modal mass [kg] per mode, global X/Y/Z — shell, order 2."/>
      </w:tblPr>
      <w:tblGrid>
        <w:gridCol w:w="448"/>
        <w:gridCol w:w="697"/>
        <w:gridCol w:w="647"/>
        <w:gridCol w:w="597"/>
        <w:gridCol w:w="697"/>
        <w:gridCol w:w="647"/>
        <w:gridCol w:w="597"/>
        <w:gridCol w:w="597"/>
        <w:gridCol w:w="547"/>
        <w:gridCol w:w="647"/>
        <w:gridCol w:w="597"/>
        <w:gridCol w:w="697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Direction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aba_QUADR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ccx_QUADR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</w:tbl>
    <w:bookmarkEnd w:id="57"/>
    <w:p>
      <w:pPr>
        <w:spacing w:before="440"/>
      </w:pPr>
    </w:p>
    <w:bookmarkStart w:id="61" w:name="tbl:eig_compare_shell_o2_pf"/>
    <w:p>
      <w:bookmarkStart w:id="62" w:name="_Ref844444865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"Appendix"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62"/>
      <w:r>
        <w:rPr>
          <w:rFonts w:ascii="Arial" w:hAnsi="Arial"/>
        </w:rPr>
        <w:t>: Participation factor per mode scaled to unit generalised mass [√kg], global X/Y/Z — shell, order 2.</w:t>
      </w:r>
      <w:r>
        <w:rPr>
          <w:rFonts w:ascii="Arial" w:hAnsi="Arial"/>
        </w:rPr>
      </w:r>
    </w:p>
    <w:tbl>
      <w:tblPr>
        <w:tblStyle w:val="GridTable1Light"/>
        <w:tblW w:type="pct" w:w="4686"/>
        <w:jc w:val="center"/>
        <w:tblLayout w:type="autofit"/>
        <w:tblLook w:firstRow="1" w:lastRow="0" w:firstColumn="0" w:lastColumn="0" w:noHBand="0" w:noVBand="0" w:val="0020"/>
        <w:tblCaption w:val="Table 8: Participation factor per mode scaled to unit generalised mass [√kg], global X/Y/Z — shell, order 2."/>
      </w:tblPr>
      <w:tblGrid>
        <w:gridCol w:w="448"/>
        <w:gridCol w:w="697"/>
        <w:gridCol w:w="647"/>
        <w:gridCol w:w="597"/>
        <w:gridCol w:w="697"/>
        <w:gridCol w:w="647"/>
        <w:gridCol w:w="597"/>
        <w:gridCol w:w="597"/>
        <w:gridCol w:w="547"/>
        <w:gridCol w:w="647"/>
        <w:gridCol w:w="597"/>
        <w:gridCol w:w="697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Direction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aba_QUADR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ca_TRI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ca_QUAD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ccx_QUADR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-10.952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11.047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-11.047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11.044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11.044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11.047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-11.046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11.047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-11.046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11.047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-11.046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6.072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-6.073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6.072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6.071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6.073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6.071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0.141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0.138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1.859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1.848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-1.849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1.839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-1.859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1.852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-2.358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2.353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-2.362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-2.35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-0.809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-0.801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-0.808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-0.808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-0.818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0.793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0.801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0.781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-0.809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0.799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1.175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-1.201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1.178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</w:tbl>
    <w:bookmarkEnd w:id="59"/>
    <w:bookmarkEnd w:id="60"/>
    <w:bookmarkStart w:id="63" w:name="line-1st-order"/>
    <w:p>
      <w:pPr>
        <w:pStyle w:val="AppendixX2"/>
        <w:spacing w:before="40"/>
        <w:ind w:left="850"/>
      </w:pPr>
      <w:r>
        <w:t xml:space="preserve">Line, 1st order</w:t>
      </w:r>
    </w:p>
    <w:bookmarkStart w:id="64" w:name="tbl:eig_compare_line_o1_meff"/>
    <w:p>
      <w:bookmarkStart w:id="65" w:name="_Ref863749115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"Appendix"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65"/>
      <w:r>
        <w:rPr>
          <w:rFonts w:ascii="Arial" w:hAnsi="Arial"/>
        </w:rPr>
        <w:t>: Effective modal mass [kg] per mode, global X/Y/Z — line, order 1.</w:t>
      </w:r>
      <w:r>
        <w:rPr>
          <w:rFonts w:ascii="Arial" w:hAnsi="Arial"/>
        </w:rPr>
      </w:r>
    </w:p>
    <w:tbl>
      <w:tblPr>
        <w:tblStyle w:val="GridTable1Light"/>
        <w:tblW w:type="pct" w:w="3264"/>
        <w:jc w:val="center"/>
        <w:tblLayout w:type="autofit"/>
        <w:tblLook w:firstRow="1" w:lastRow="0" w:firstColumn="0" w:lastColumn="0" w:noHBand="0" w:noVBand="0" w:val="0020"/>
        <w:tblCaption w:val="Table 9: Effective modal mass [kg] per mode, global X/Y/Z — line, order 1."/>
      </w:tblPr>
      <w:tblGrid>
        <w:gridCol w:w="990"/>
        <w:gridCol w:w="1540"/>
        <w:gridCol w:w="880"/>
        <w:gridCol w:w="880"/>
        <w:gridCol w:w="880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Direction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35.8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38.3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</w:tbl>
    <w:bookmarkEnd w:id="62"/>
    <w:p>
      <w:pPr>
        <w:spacing w:before="440"/>
      </w:pPr>
    </w:p>
    <w:bookmarkStart w:id="66" w:name="tbl:eig_compare_line_o1_pf"/>
    <w:p>
      <w:bookmarkStart w:id="67" w:name="_Ref751751373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"Appendix"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67"/>
      <w:r>
        <w:rPr>
          <w:rFonts w:ascii="Arial" w:hAnsi="Arial"/>
        </w:rPr>
        <w:t>: Participation factor per mode scaled to unit generalised mass [√kg], global X/Y/Z — line, order 1.</w:t>
      </w:r>
      <w:r>
        <w:rPr>
          <w:rFonts w:ascii="Arial" w:hAnsi="Arial"/>
        </w:rPr>
      </w:r>
    </w:p>
    <w:tbl>
      <w:tblPr>
        <w:tblStyle w:val="GridTable1Light"/>
        <w:tblW w:type="pct" w:w="3542"/>
        <w:jc w:val="center"/>
        <w:tblLayout w:type="autofit"/>
        <w:tblLook w:firstRow="1" w:lastRow="0" w:firstColumn="0" w:lastColumn="0" w:noHBand="0" w:noVBand="0" w:val="0020"/>
        <w:tblCaption w:val="Table 10: Participation factor per mode scaled to unit generalised mass [√kg], global X/Y/Z — line, order 1."/>
      </w:tblPr>
      <w:tblGrid>
        <w:gridCol w:w="990"/>
        <w:gridCol w:w="1540"/>
        <w:gridCol w:w="1100"/>
        <w:gridCol w:w="990"/>
        <w:gridCol w:w="990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Direction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ca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-11.316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-5.981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-6.193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</w:tbl>
    <w:bookmarkEnd w:id="64"/>
    <w:bookmarkEnd w:id="65"/>
    <w:bookmarkStart w:id="68" w:name="line-2nd-order"/>
    <w:p>
      <w:pPr>
        <w:pStyle w:val="AppendixX2"/>
        <w:spacing w:before="40"/>
        <w:ind w:left="850"/>
      </w:pPr>
      <w:r>
        <w:t xml:space="preserve">Line, 2nd order</w:t>
      </w:r>
    </w:p>
    <w:bookmarkStart w:id="69" w:name="tbl:eig_compare_line_o2_meff"/>
    <w:p>
      <w:bookmarkStart w:id="70" w:name="_Ref179410230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"Appendix"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70"/>
      <w:r>
        <w:rPr>
          <w:rFonts w:ascii="Arial" w:hAnsi="Arial"/>
        </w:rPr>
        <w:t>: Effective modal mass [kg] per mode, global X/Y/Z — line, order 2.</w:t>
      </w:r>
      <w:r>
        <w:rPr>
          <w:rFonts w:ascii="Arial" w:hAnsi="Arial"/>
        </w:rPr>
      </w:r>
    </w:p>
    <w:tbl>
      <w:tblPr>
        <w:tblStyle w:val="GridTable1Light"/>
        <w:tblW w:type="pct" w:w="2708"/>
        <w:jc w:val="center"/>
        <w:tblLayout w:type="autofit"/>
        <w:tblLook w:firstRow="1" w:lastRow="0" w:firstColumn="0" w:lastColumn="0" w:noHBand="0" w:noVBand="0" w:val="0020"/>
        <w:tblCaption w:val="Table 11: Effective modal mass [kg] per mode, global X/Y/Z — line, order 2."/>
      </w:tblPr>
      <w:tblGrid>
        <w:gridCol w:w="990"/>
        <w:gridCol w:w="1540"/>
        <w:gridCol w:w="880"/>
        <w:gridCol w:w="880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Direction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176.8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192.8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59.6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</w:tbl>
    <w:bookmarkEnd w:id="67"/>
    <w:p>
      <w:pPr>
        <w:spacing w:before="440"/>
      </w:pPr>
    </w:p>
    <w:bookmarkStart w:id="71" w:name="tbl:eig_compare_line_o2_pf"/>
    <w:p>
      <w:bookmarkStart w:id="72" w:name="_Ref559466539"/>
      <w:pPr>
        <w:pStyle w:val="TableCaption"/>
        <w:spacing w:before="360"/>
        <w:jc w:val="center"/>
      </w:pPr>
      <w:r>
        <w:rPr>
          <w:rFonts w:ascii="Arial" w:hAnsi="Arial"/>
        </w:rPr>
        <w:t xml:space="preserve">Table </w:t>
        <w:fldChar w:fldCharType="begin"/>
        <w:instrText xml:space="preserve"> STYLEREF \s "Appendix" \n </w:instrText>
        <w:fldChar w:fldCharType="separate"/>
        <w:t>1</w:t>
        <w:fldChar w:fldCharType="end"/>
      </w:r>
      <w:r>
        <w:rPr>
          <w:rFonts w:ascii="Arial" w:hAnsi="Arial"/>
        </w:rPr>
        <w:t>-</w:t>
      </w:r>
      <w:r>
        <w:rPr>
          <w:rFonts w:ascii="Arial" w:hAnsi="Arial"/>
        </w:rPr>
        <w:fldChar w:fldCharType="begin"/>
        <w:instrText xml:space="preserve"> SEQ Table \* ARABIC \s 1 </w:instrText>
        <w:fldChar w:fldCharType="separate"/>
        <w:t>1</w:t>
        <w:fldChar w:fldCharType="end"/>
      </w:r>
      <w:bookmarkEnd w:id="72"/>
      <w:r>
        <w:rPr>
          <w:rFonts w:ascii="Arial" w:hAnsi="Arial"/>
        </w:rPr>
        <w:t>: Participation factor per mode scaled to unit generalised mass [√kg], global X/Y/Z — line, order 2.</w:t>
      </w:r>
      <w:r>
        <w:rPr>
          <w:rFonts w:ascii="Arial" w:hAnsi="Arial"/>
        </w:rPr>
      </w:r>
    </w:p>
    <w:tbl>
      <w:tblPr>
        <w:tblStyle w:val="GridTable1Light"/>
        <w:tblW w:type="pct" w:w="2917"/>
        <w:jc w:val="center"/>
        <w:tblLayout w:type="autofit"/>
        <w:tblLook w:firstRow="1" w:lastRow="0" w:firstColumn="0" w:lastColumn="0" w:noHBand="0" w:noVBand="0" w:val="0020"/>
        <w:tblCaption w:val="Table 12: Participation factor per mode scaled to unit generalised mass [√kg], global X/Y/Z — line, order 2."/>
      </w:tblPr>
      <w:tblGrid>
        <w:gridCol w:w="990"/>
        <w:gridCol w:w="1540"/>
        <w:gridCol w:w="1100"/>
        <w:gridCol w:w="990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Mode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Direction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ses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aba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13.297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-13.884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-7.413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-6.015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-7.719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</w:t>
            </w:r>
          </w:p>
        </w:tc>
      </w:tr>
    </w:tbl>
    <w:bookmarkEnd w:id="69"/>
    <w:bookmarkEnd w:id="70"/>
    <w:bookmarkEnd w:id="71"/>
    <w:bookmarkStart w:id="73" w:name="cantilever-eigenvalue-analysis"/>
    <w:p>
      <w:pPr>
        <w:pStyle w:val="AppendixX1"/>
        <w:spacing w:before="40"/>
        <w:ind w:left="850"/>
      </w:pPr>
      <w:r>
        <w:t xml:space="preserve">Cantilever eigenvalue analysis</w:t>
      </w:r>
    </w:p>
    <w:bookmarkStart w:id="74" w:name="line-1st-order-1"/>
    <w:p>
      <w:pPr>
        <w:pStyle w:val="AppendixX2"/>
        <w:spacing w:before="40"/>
        <w:ind w:left="850"/>
      </w:pPr>
      <w:r>
        <w:t xml:space="preserve">Line, 1st order</w:t>
      </w:r>
    </w:p>
    <w:bookmarkStart w:id="75" w:name="mode-1"/>
    <w:p>
      <w:pPr>
        <w:pStyle w:val="AppendixX3"/>
        <w:spacing w:before="40"/>
        <w:ind w:left="850"/>
        <w:numPr>
          <w:ilvl w:val="0"/>
          <w:numId w:val="22"/>
        </w:numPr>
      </w:pPr>
      <w:r>
        <w:t xml:space="preserve">Mode 1</w:t>
      </w:r>
    </w:p>
    <w:bookmarkStart w:id="76" w:name="fig:fea_modes_compare_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: Abaqus — mode 1, 10.785 Hz" title="" id="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1_hqFalse_riFalse/fea.mesh.png" id="5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1: Abaqus — mode 1, 10.785 Hz</w:t>
      </w:r>
    </w:p>
    <w:bookmarkEnd w:id="72"/>
    <w:bookmarkStart w:id="77" w:name="fig:fea_modes_compare_1_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: Sesam — mode 1, 12.245 Hz" title="" id="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1_hqFalse_riFalse/fea.mesh.png" id="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2: Sesam — mode 1, 12.245 Hz</w:t>
      </w:r>
    </w:p>
    <w:bookmarkEnd w:id="73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4592.3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4.83e-34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1.00e-29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1.05e-31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-2.20e-17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-3.17e-15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3.24e-16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12.245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+6.34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5919.77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8.88e-35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2.77e-27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1.18e-30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9.42e-18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5.26e-14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-1.09e-15</w:t>
            </w:r>
          </w:p>
        </w:tc>
      </w:tr>
    </w:tbl>
    <w:bookmarkEnd w:id="74"/>
    <w:bookmarkStart w:id="78" w:name="mode-2"/>
    <w:p>
      <w:pPr>
        <w:pStyle w:val="AppendixX3"/>
        <w:spacing w:before="40"/>
        <w:ind w:left="850"/>
      </w:pPr>
      <w:r>
        <w:t xml:space="preserve">Mode 2</w:t>
      </w:r>
    </w:p>
    <w:bookmarkStart w:id="79" w:name="fig:fea_modes_compare_1_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3: Abaqus — mode 2, 12.928 Hz" title="" id="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1_hqFalse_riFalse/fea.mesh.mode_2.png" id="7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3: Abaqus — mode 2, 12.928 Hz</w:t>
      </w:r>
    </w:p>
    <w:bookmarkEnd w:id="75"/>
    <w:bookmarkStart w:id="80" w:name="fig:fea_modes_compare_1_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4: Sesam — mode 2, 12.943 Hz" title="" id="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1_hqFalse_riFalse/fea.mesh.mode_2.png" id="8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4: Sesam — mode 2, 12.943 Hz</w:t>
      </w:r>
    </w:p>
    <w:bookmarkEnd w:id="76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6598.4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6.75e-31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3.27e-31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-8.21e-16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-5.72e-16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6613.55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4.64e-35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5.64e-31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6.81e-18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-7.51e-16</w:t>
            </w:r>
          </w:p>
        </w:tc>
      </w:tr>
    </w:tbl>
    <w:bookmarkEnd w:id="77"/>
    <w:bookmarkStart w:id="81" w:name="mode-3"/>
    <w:p>
      <w:pPr>
        <w:pStyle w:val="AppendixX3"/>
        <w:spacing w:before="40"/>
        <w:ind w:left="850"/>
      </w:pPr>
      <w:r>
        <w:t xml:space="preserve">Mode 3</w:t>
      </w:r>
    </w:p>
    <w:bookmarkStart w:id="82" w:name="fig:fea_modes_compare_1_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5: Abaqus — mode 3, 32.342 Hz" title="" id="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1_hqFalse_riFalse/fea.mesh.mode_3.png" id="9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5: Abaqus — mode 3, 32.342 Hz</w:t>
      </w:r>
    </w:p>
    <w:bookmarkEnd w:id="78"/>
    <w:bookmarkStart w:id="83" w:name="fig:fea_modes_compare_1_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6: Sesam — mode 3, 36.752 Hz" title="" id="1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1_hqFalse_riFalse/fea.mesh.mode_3.png" id="10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6: Sesam — mode 3, 36.752 Hz</w:t>
      </w:r>
    </w:p>
    <w:bookmarkEnd w:id="79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32.342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41294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7.85e-31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8.23e-32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1.14e-28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8.86e-16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-2.87e-16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1.07e-14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36.752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+6.38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53325.3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8.68e-35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1.01e-30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1.52e-32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-9.32e-18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1.00e-15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-1.23e-16</w:t>
            </w:r>
          </w:p>
        </w:tc>
      </w:tr>
    </w:tbl>
    <w:bookmarkEnd w:id="80"/>
    <w:bookmarkStart w:id="84" w:name="mode-4"/>
    <w:p>
      <w:pPr>
        <w:pStyle w:val="AppendixX3"/>
        <w:spacing w:before="40"/>
        <w:ind w:left="850"/>
      </w:pPr>
      <w:r>
        <w:t xml:space="preserve">Mode 4</w:t>
      </w:r>
    </w:p>
    <w:bookmarkStart w:id="85" w:name="fig:fea_modes_compare_1_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7: Abaqus — mode 4, 50.543 Hz" title="" id="1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1_hqFalse_riFalse/fea.mesh.mode_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7: Abaqus — mode 4, 50.543 Hz</w:t>
      </w:r>
    </w:p>
    <w:bookmarkEnd w:id="81"/>
    <w:bookmarkStart w:id="86" w:name="fig:fea_modes_compare_1_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8: Sesam — mode 4, 44.962 Hz" title="" id="1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1_hqFalse_riFalse/fea.mesh.mode_4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8: Sesam — mode 4, 44.962 Hz</w:t>
      </w:r>
    </w:p>
    <w:bookmarkEnd w:id="82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50.543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+5.84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100852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2.51e-30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1.42e-29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1.58e-15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-3.76e-15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44.962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79809.7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3.16e-33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9.04e-30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128.05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-5.62e-17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3.01e-15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-11.316</w:t>
            </w:r>
          </w:p>
        </w:tc>
      </w:tr>
    </w:tbl>
    <w:bookmarkEnd w:id="83"/>
    <w:bookmarkStart w:id="87" w:name="mode-5"/>
    <w:p>
      <w:pPr>
        <w:pStyle w:val="AppendixX3"/>
        <w:spacing w:before="40"/>
        <w:ind w:left="850"/>
      </w:pPr>
      <w:r>
        <w:t xml:space="preserve">Mode 5</w:t>
      </w:r>
    </w:p>
    <w:bookmarkStart w:id="88" w:name="fig:fea_modes_compare_1_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9: Abaqus — mode 5, 53.855 Hz" title="" id="1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1_hqFalse_riFalse/fea.mesh.mode_5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9: Abaqus — mode 5, 53.855 Hz</w:t>
      </w:r>
    </w:p>
    <w:bookmarkEnd w:id="84"/>
    <w:bookmarkStart w:id="89" w:name="fig:fea_modes_compare_1_1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0: Sesam — mode 5, 61.309 Hz" title="" id="1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1_hqFalse_riFalse/fea.mesh.mode_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10: Sesam — mode 5, 61.309 Hz</w:t>
      </w:r>
    </w:p>
    <w:bookmarkEnd w:id="85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53.855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114501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1.75e-29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8.90e-30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2.61e-27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-4.18e-15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2.98e-15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5.11e-14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61.309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+6.47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148390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3.02e-32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3.54e-30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1.09e-29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-1.74e-16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-1.88e-15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3.30e-15</w:t>
            </w:r>
          </w:p>
        </w:tc>
      </w:tr>
    </w:tbl>
    <w:bookmarkEnd w:id="86"/>
    <w:bookmarkStart w:id="90" w:name="mode-6"/>
    <w:p>
      <w:pPr>
        <w:pStyle w:val="AppendixX3"/>
        <w:spacing w:before="40"/>
        <w:ind w:left="850"/>
      </w:pPr>
      <w:r>
        <w:t xml:space="preserve">Mode 6</w:t>
      </w:r>
    </w:p>
    <w:bookmarkStart w:id="91" w:name="fig:fea_modes_compare_1_1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1: Abaqus — mode 6, 75.296 Hz" title="" id="1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1_hqFalse_riFalse/fea.mesh.mode_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11: Abaqus — mode 6, 75.296 Hz</w:t>
      </w:r>
    </w:p>
    <w:bookmarkEnd w:id="87"/>
    <w:bookmarkStart w:id="92" w:name="fig:fea_modes_compare_1_1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2: Sesam — mode 6, 79.793 Hz" title="" id="1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1_hqFalse_riFalse/fea.mesh.mode_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12: Sesam — mode 6, 79.793 Hz</w:t>
      </w:r>
    </w:p>
    <w:bookmarkEnd w:id="88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75.296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223823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3.82e-29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2.17e-28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3.67e-28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-6.18e-15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-1.47e-14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1.92e-14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79.793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+2.90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251356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8.03e-33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4.50e-29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-8.96e-17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-6.71e-15</w:t>
            </w:r>
          </w:p>
        </w:tc>
      </w:tr>
    </w:tbl>
    <w:bookmarkEnd w:id="89"/>
    <w:bookmarkStart w:id="93" w:name="mode-7"/>
    <w:p>
      <w:pPr>
        <w:pStyle w:val="AppendixX3"/>
        <w:spacing w:before="40"/>
        <w:ind w:left="850"/>
      </w:pPr>
      <w:r>
        <w:t xml:space="preserve">Mode 7</w:t>
      </w:r>
    </w:p>
    <w:bookmarkStart w:id="94" w:name="fig:fea_modes_compare_1_1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3: Abaqus — mode 7, 79.590 Hz" title="" id="1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1_hqFalse_riFalse/fea.mesh.mode_7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13: Abaqus — mode 7, 79.590 Hz</w:t>
      </w:r>
    </w:p>
    <w:bookmarkEnd w:id="90"/>
    <w:bookmarkStart w:id="95" w:name="fig:fea_modes_compare_1_1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4: Sesam — mode 7, 85.947 Hz" title="" id="1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1_hqFalse_riFalse/fea.mesh.mode_7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14: Sesam — mode 7, 85.947 Hz</w:t>
      </w:r>
    </w:p>
    <w:bookmarkEnd w:id="91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79.590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250078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1.01e-30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1.38e-29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1.01e-15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-3.72e-15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85.947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+3.84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291620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1.09e-31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9.28e-29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2.34e-30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-3.31e-16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-9.63e-15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-1.53e-15</w:t>
            </w:r>
          </w:p>
        </w:tc>
      </w:tr>
    </w:tbl>
    <w:bookmarkEnd w:id="92"/>
    <w:bookmarkStart w:id="96" w:name="mode-8"/>
    <w:p>
      <w:pPr>
        <w:pStyle w:val="AppendixX3"/>
        <w:spacing w:before="40"/>
        <w:ind w:left="850"/>
      </w:pPr>
      <w:r>
        <w:t xml:space="preserve">Mode 8</w:t>
      </w:r>
    </w:p>
    <w:bookmarkStart w:id="97" w:name="fig:fea_modes_compare_1_1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5: Abaqus — mode 8, 96.637 Hz" title="" id="1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1_hqFalse_riFalse/fea.mesh.mode_8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15: Abaqus — mode 8, 96.637 Hz</w:t>
      </w:r>
    </w:p>
    <w:bookmarkEnd w:id="93"/>
    <w:bookmarkStart w:id="98" w:name="fig:fea_modes_compare_1_1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6: Sesam — mode 8, 110.699 Hz" title="" id="2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1_hqFalse_riFalse/fea.mesh.mode_8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16: Sesam — mode 8, 110.699 Hz</w:t>
      </w:r>
    </w:p>
    <w:bookmarkEnd w:id="9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96.637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368677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4.04e-26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1.03e-27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4.21e-27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-2.01e-13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-3.20e-14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6.49e-14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110.699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+6.78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483782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2.49e-33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6.18e-30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2.43e-29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4.99e-17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2.49e-15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-4.93e-15</w:t>
            </w:r>
          </w:p>
        </w:tc>
      </w:tr>
    </w:tbl>
    <w:bookmarkEnd w:id="95"/>
    <w:bookmarkStart w:id="99" w:name="mode-9"/>
    <w:p>
      <w:pPr>
        <w:pStyle w:val="AppendixX3"/>
        <w:spacing w:before="40"/>
        <w:ind w:left="850"/>
      </w:pPr>
      <w:r>
        <w:t xml:space="preserve">Mode 9</w:t>
      </w:r>
    </w:p>
    <w:bookmarkStart w:id="100" w:name="fig:fea_modes_compare_1_1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7: Abaqus — mode 9, 117.849 Hz" title="" id="2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1_hqFalse_riFalse/fea.mesh.mode_9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17: Abaqus — mode 9, 117.849 Hz</w:t>
      </w:r>
    </w:p>
    <w:bookmarkEnd w:id="96"/>
    <w:bookmarkStart w:id="101" w:name="fig:fea_modes_compare_1_1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8: Sesam — mode 9, 135.600 Hz" title="" id="2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1_hqFalse_riFalse/fea.mesh.mode_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18: Sesam — mode 9, 135.600 Hz</w:t>
      </w:r>
    </w:p>
    <w:bookmarkEnd w:id="9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117.850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548290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9.24e-23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1.72e-25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7.37e-24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9.61e-12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4.15e-13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2.71e-12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135.600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+7.00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725900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3.52e-30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2.31e-30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4.44e-29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-1.88e-15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1.52e-15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-6.66e-15</w:t>
            </w:r>
          </w:p>
        </w:tc>
      </w:tr>
    </w:tbl>
    <w:bookmarkEnd w:id="98"/>
    <w:bookmarkStart w:id="102" w:name="mode-10"/>
    <w:p>
      <w:pPr>
        <w:pStyle w:val="AppendixX3"/>
        <w:spacing w:before="40"/>
        <w:ind w:left="850"/>
      </w:pPr>
      <w:r>
        <w:t xml:space="preserve">Mode 10</w:t>
      </w:r>
    </w:p>
    <w:bookmarkStart w:id="103" w:name="fig:fea_modes_compare_1_1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9: Abaqus — mode 10, 138.904 Hz" title="" id="2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1_hqFalse_riFalse/fea.mesh.mode_10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19: Abaqus — mode 10, 138.904 Hz</w:t>
      </w:r>
    </w:p>
    <w:bookmarkEnd w:id="99"/>
    <w:bookmarkStart w:id="104" w:name="fig:fea_modes_compare_1_2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0: Sesam — mode 10, 160.681 Hz" title="" id="2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1_hqFalse_riFalse/fea.mesh.mode_10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20: Sesam — mode 10, 160.681 Hz</w:t>
      </w:r>
    </w:p>
    <w:bookmarkEnd w:id="10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138.900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761704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1.00e-20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2.09e-22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2.61e-21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1.00e-10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1.45e-11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-5.11e-11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160.681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+7.27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1.01927e+06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6.22e-23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1.67e-23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7.04e-23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-7.88e-12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4.09e-12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-8.39e-12</w:t>
            </w:r>
          </w:p>
        </w:tc>
      </w:tr>
    </w:tbl>
    <w:bookmarkEnd w:id="101"/>
    <w:bookmarkStart w:id="105" w:name="mode-11"/>
    <w:p>
      <w:pPr>
        <w:pStyle w:val="AppendixX3"/>
        <w:spacing w:before="40"/>
        <w:ind w:left="850"/>
      </w:pPr>
      <w:r>
        <w:t xml:space="preserve">Mode 11</w:t>
      </w:r>
    </w:p>
    <w:bookmarkStart w:id="106" w:name="fig:fea_modes_compare_1_2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1: Abaqus — mode 11, 159.773 Hz" title="" id="2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1_hqFalse_riFalse/fea.mesh.mode_1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21: Abaqus — mode 11, 159.773 Hz</w:t>
      </w:r>
    </w:p>
    <w:bookmarkEnd w:id="102"/>
    <w:bookmarkStart w:id="107" w:name="fig:fea_modes_compare_1_2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2: Sesam — mode 11, 176.495 Hz" title="" id="2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1_hqFalse_riFalse/fea.mesh.mode_11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22: Sesam — mode 11, 176.495 Hz</w:t>
      </w:r>
    </w:p>
    <w:bookmarkEnd w:id="103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159.770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1.00778e+06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1.05e-18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1.96e-22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2.87e-21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1.02e-09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-1.40e-11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5.35e-11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176.495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+4.97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1.22977e+06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3.95e-21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1.04e-21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38.35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-6.28e-11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3.22e-11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-6.193</w:t>
            </w:r>
          </w:p>
        </w:tc>
      </w:tr>
    </w:tbl>
    <w:bookmarkEnd w:id="104"/>
    <w:bookmarkEnd w:id="105"/>
    <w:bookmarkStart w:id="108" w:name="line-2nd-order-1"/>
    <w:p>
      <w:pPr>
        <w:pStyle w:val="AppendixX2"/>
        <w:spacing w:before="40"/>
        <w:ind w:left="850"/>
      </w:pPr>
      <w:r>
        <w:t xml:space="preserve">Line, 2nd order</w:t>
      </w:r>
    </w:p>
    <w:bookmarkStart w:id="109" w:name="mode-1-1"/>
    <w:p>
      <w:pPr>
        <w:pStyle w:val="AppendixX3"/>
        <w:spacing w:before="40"/>
        <w:ind w:left="850"/>
      </w:pPr>
      <w:r>
        <w:t xml:space="preserve">Mode 1</w:t>
      </w:r>
    </w:p>
    <w:bookmarkStart w:id="110" w:name="fig:fea_modes_compare_1_2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3: Abaqus — mode 1, 10.786 Hz" title="" id="2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2_hqFalse_riFalse/fea.mesh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23: Abaqus — mode 1, 10.786 Hz</w:t>
      </w:r>
    </w:p>
    <w:bookmarkEnd w:id="106"/>
    <w:bookmarkStart w:id="111" w:name="fig:fea_modes_compare_1_2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4: Sesam — mode 1, 10.039 Hz" title="" id="2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2_hqFalse_riFalse/fea.mesh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24: Sesam — mode 1, 10.039 Hz</w:t>
      </w:r>
    </w:p>
    <w:bookmarkEnd w:id="10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+3.59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4592.8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3.02e-31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1.31e-30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3.09e-30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5.50e-16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1.14e-15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-1.76e-15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10.039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-3.59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3978.68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5.26e-40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1.31e-27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4.46e-29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2.29e-20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3.62e-14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-6.68e-15</w:t>
            </w:r>
          </w:p>
        </w:tc>
      </w:tr>
    </w:tbl>
    <w:bookmarkEnd w:id="108"/>
    <w:bookmarkStart w:id="112" w:name="mode-2-1"/>
    <w:p>
      <w:pPr>
        <w:pStyle w:val="AppendixX3"/>
        <w:spacing w:before="40"/>
        <w:ind w:left="850"/>
      </w:pPr>
      <w:r>
        <w:t xml:space="preserve">Mode 2</w:t>
      </w:r>
    </w:p>
    <w:bookmarkStart w:id="113" w:name="fig:fea_modes_compare_1_2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5: Abaqus — mode 2, 12.932 Hz" title="" id="2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2_hqFalse_riFalse/fea.mesh.mode_2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25: Abaqus — mode 2, 12.932 Hz</w:t>
      </w:r>
    </w:p>
    <w:bookmarkEnd w:id="109"/>
    <w:bookmarkStart w:id="114" w:name="fig:fea_modes_compare_1_2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6: Sesam — mode 2, 10.614 Hz" title="" id="3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2_hqFalse_riFalse/fea.mesh.mode_2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26: Sesam — mode 2, 10.614 Hz</w:t>
      </w:r>
    </w:p>
    <w:bookmarkEnd w:id="11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+9.84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6602.4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1.50e-32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2.60e-32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-1.22e-16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-1.61e-16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10.614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-9.84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4447.85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3.31e-28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176.82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7.82e-31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-1.82e-14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13.297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8.84e-16</w:t>
            </w:r>
          </w:p>
        </w:tc>
      </w:tr>
    </w:tbl>
    <w:bookmarkEnd w:id="111"/>
    <w:bookmarkStart w:id="115" w:name="mode-3-1"/>
    <w:p>
      <w:pPr>
        <w:pStyle w:val="AppendixX3"/>
        <w:spacing w:before="40"/>
        <w:ind w:left="850"/>
      </w:pPr>
      <w:r>
        <w:t xml:space="preserve">Mode 3</w:t>
      </w:r>
    </w:p>
    <w:bookmarkStart w:id="116" w:name="fig:fea_modes_compare_1_2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7: Abaqus — mode 3, 32.358 Hz" title="" id="3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2_hqFalse_riFalse/fea.mesh.mode_3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27: Abaqus — mode 3, 32.358 Hz</w:t>
      </w:r>
    </w:p>
    <w:bookmarkEnd w:id="112"/>
    <w:bookmarkStart w:id="117" w:name="fig:fea_modes_compare_1_2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8: Sesam — mode 3, 30.108 Hz" title="" id="3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2_hqFalse_riFalse/fea.mesh.mode_3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28: Sesam — mode 3, 30.108 Hz</w:t>
      </w:r>
    </w:p>
    <w:bookmarkEnd w:id="113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32.358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+3.60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41335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2.64e-31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5.69e-29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8.91e-29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5.14e-16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-7.54e-15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-9.44e-15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30.108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-3.60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35786.3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4.57e-37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6.51e-30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2.81e-29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6.76e-19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2.55e-15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-5.30e-15</w:t>
            </w:r>
          </w:p>
        </w:tc>
      </w:tr>
    </w:tbl>
    <w:bookmarkEnd w:id="114"/>
    <w:bookmarkStart w:id="118" w:name="mode-4-1"/>
    <w:p>
      <w:pPr>
        <w:pStyle w:val="AppendixX3"/>
        <w:spacing w:before="40"/>
        <w:ind w:left="850"/>
      </w:pPr>
      <w:r>
        <w:t xml:space="preserve">Mode 4</w:t>
      </w:r>
    </w:p>
    <w:bookmarkStart w:id="119" w:name="fig:fea_modes_compare_1_2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9: Abaqus — mode 4, 50.557 Hz" title="" id="3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2_hqFalse_riFalse/fea.mesh.mode_4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29: Abaqus — mode 4, 50.557 Hz</w:t>
      </w:r>
    </w:p>
    <w:bookmarkEnd w:id="115"/>
    <w:bookmarkStart w:id="120" w:name="fig:fea_modes_compare_1_3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30: Sesam — mode 4, 36.752 Hz" title="" id="3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2_hqFalse_riFalse/fea.mesh.mode_4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30: Sesam — mode 4, 36.752 Hz</w:t>
      </w:r>
    </w:p>
    <w:bookmarkEnd w:id="116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50.557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+15.81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100907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6.29e-36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9.63e-28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-2.51e-18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-3.10e-14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36.752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-15.81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53323.9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3.71e-28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2.58e-29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192.77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1.93e-14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5.08e-15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-13.884</w:t>
            </w:r>
          </w:p>
        </w:tc>
      </w:tr>
    </w:tbl>
    <w:bookmarkEnd w:id="117"/>
    <w:bookmarkStart w:id="121" w:name="mode-5-1"/>
    <w:p>
      <w:pPr>
        <w:pStyle w:val="AppendixX3"/>
        <w:spacing w:before="40"/>
        <w:ind w:left="850"/>
      </w:pPr>
      <w:r>
        <w:t xml:space="preserve">Mode 5</w:t>
      </w:r>
    </w:p>
    <w:bookmarkStart w:id="122" w:name="fig:fea_modes_compare_1_3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31: Abaqus — mode 5, 53.930 Hz" title="" id="3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2_hqFalse_riFalse/fea.mesh.mode_5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31: Abaqus — mode 5, 53.930 Hz</w:t>
      </w:r>
    </w:p>
    <w:bookmarkEnd w:id="118"/>
    <w:bookmarkStart w:id="123" w:name="fig:fea_modes_compare_1_3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32: Sesam — mode 5, 50.149 Hz" title="" id="3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2_hqFalse_riFalse/fea.mesh.mode_5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32: Sesam — mode 5, 50.149 Hz</w:t>
      </w:r>
    </w:p>
    <w:bookmarkEnd w:id="119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53.930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+3.63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114820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1.13e-29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6.97e-31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2.94e-28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-3.36e-15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8.35e-16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1.72e-14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50.149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-3.63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99284.4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1.91e-35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1.10e-30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4.31e-29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-4.37e-18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-1.05e-15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-6.57e-15</w:t>
            </w:r>
          </w:p>
        </w:tc>
      </w:tr>
    </w:tbl>
    <w:bookmarkEnd w:id="120"/>
    <w:bookmarkStart w:id="124" w:name="mode-6-1"/>
    <w:p>
      <w:pPr>
        <w:pStyle w:val="AppendixX3"/>
        <w:spacing w:before="40"/>
        <w:ind w:left="850"/>
      </w:pPr>
      <w:r>
        <w:t xml:space="preserve">Mode 6</w:t>
      </w:r>
    </w:p>
    <w:bookmarkStart w:id="125" w:name="fig:fea_modes_compare_1_3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33: Abaqus — mode 6, 75.502 Hz" title="" id="3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2_hqFalse_riFalse/fea.mesh.mode_6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33: Abaqus — mode 6, 75.502 Hz</w:t>
      </w:r>
    </w:p>
    <w:bookmarkEnd w:id="121"/>
    <w:bookmarkStart w:id="126" w:name="fig:fea_modes_compare_1_3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34: Sesam — mode 6, 65.327 Hz" title="" id="3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2_hqFalse_riFalse/fea.mesh.mode_6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34: Sesam — mode 6, 65.327 Hz</w:t>
      </w:r>
    </w:p>
    <w:bookmarkEnd w:id="122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75.502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+7.23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225048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6.44e-34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3.07e-27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1.85e-29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-2.54e-17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5.54e-14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-4.30e-15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65.327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168476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1.08e-28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54.95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1.07e-28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1.04e-14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-7.413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-1.03e-14</w:t>
            </w:r>
          </w:p>
        </w:tc>
      </w:tr>
    </w:tbl>
    <w:bookmarkEnd w:id="123"/>
    <w:bookmarkStart w:id="127" w:name="mode-7-1"/>
    <w:p>
      <w:pPr>
        <w:pStyle w:val="AppendixX3"/>
        <w:spacing w:before="40"/>
        <w:ind w:left="850"/>
      </w:pPr>
      <w:r>
        <w:t xml:space="preserve">Mode 7</w:t>
      </w:r>
    </w:p>
    <w:bookmarkStart w:id="128" w:name="fig:fea_modes_compare_1_3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35: Abaqus — mode 7, 79.684 Hz" title="" id="3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2_hqFalse_riFalse/fea.mesh.mode_7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35: Abaqus — mode 7, 79.684 Hz</w:t>
      </w:r>
    </w:p>
    <w:bookmarkEnd w:id="124"/>
    <w:bookmarkStart w:id="129" w:name="fig:fea_modes_compare_1_3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36: Sesam — mode 7, 70.143 Hz" title="" id="4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2_hqFalse_riFalse/fea.mesh.mode_7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36: Sesam — mode 7, 70.143 Hz</w:t>
      </w:r>
    </w:p>
    <w:bookmarkEnd w:id="125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79.684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+6.37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250668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9.57e-31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1.97e-27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9.78e-16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-4.44e-14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70.143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194235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7.33e-35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4.66e-28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4.83e-30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-8.56e-18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2.16e-14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2.20e-15</w:t>
            </w:r>
          </w:p>
        </w:tc>
      </w:tr>
    </w:tbl>
    <w:bookmarkEnd w:id="126"/>
    <w:bookmarkStart w:id="130" w:name="mode-8-1"/>
    <w:p>
      <w:pPr>
        <w:pStyle w:val="AppendixX3"/>
        <w:spacing w:before="40"/>
        <w:ind w:left="850"/>
      </w:pPr>
      <w:r>
        <w:t xml:space="preserve">Mode 8</w:t>
      </w:r>
    </w:p>
    <w:bookmarkStart w:id="131" w:name="fig:fea_modes_compare_1_3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37: Abaqus — mode 8, 97.074 Hz" title="" id="4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2_hqFalse_riFalse/fea.mesh.mode_8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37: Abaqus — mode 8, 97.074 Hz</w:t>
      </w:r>
    </w:p>
    <w:bookmarkEnd w:id="127"/>
    <w:bookmarkStart w:id="132" w:name="fig:fea_modes_compare_1_3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38: Sesam — mode 8, 90.070 Hz" title="" id="4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2_hqFalse_riFalse/fea.mesh.mode_8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38: Sesam — mode 8, 90.070 Hz</w:t>
      </w:r>
    </w:p>
    <w:bookmarkEnd w:id="128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97.074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+3.74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372022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4.46e-28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1.86e-30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1.09e-27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2.11e-14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1.36e-15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-3.31e-14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90.070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320270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1.65e-33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4.85e-29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3.89e-29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-4.06e-17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6.96e-15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6.24e-15</w:t>
            </w:r>
          </w:p>
        </w:tc>
      </w:tr>
    </w:tbl>
    <w:bookmarkEnd w:id="129"/>
    <w:bookmarkStart w:id="133" w:name="mode-9-1"/>
    <w:p>
      <w:pPr>
        <w:pStyle w:val="AppendixX3"/>
        <w:spacing w:before="40"/>
        <w:ind w:left="850"/>
      </w:pPr>
      <w:r>
        <w:t xml:space="preserve">Mode 9</w:t>
      </w:r>
    </w:p>
    <w:bookmarkStart w:id="134" w:name="fig:fea_modes_compare_1_3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39: Abaqus — mode 9, 118.648 Hz" title="" id="4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2_hqFalse_riFalse/fea.mesh.mode_9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39: Abaqus — mode 9, 118.648 Hz</w:t>
      </w:r>
    </w:p>
    <w:bookmarkEnd w:id="130"/>
    <w:bookmarkStart w:id="135" w:name="fig:fea_modes_compare_1_4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40: Sesam — mode 9, 109.907 Hz" title="" id="4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2_hqFalse_riFalse/fea.mesh.mode_9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40: Sesam — mode 9, 109.907 Hz</w:t>
      </w:r>
    </w:p>
    <w:bookmarkEnd w:id="131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118.650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+3.83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555748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3.94e-25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6.15e-26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2.26e-25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6.28e-13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2.48e-13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-4.75e-13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109.907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-3.83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476881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3.54e-29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2.19e-32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8.17e-29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5.95e-15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-1.48e-16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-9.04e-15</w:t>
            </w:r>
          </w:p>
        </w:tc>
      </w:tr>
    </w:tbl>
    <w:bookmarkEnd w:id="132"/>
    <w:bookmarkStart w:id="136" w:name="mode-10-1"/>
    <w:p>
      <w:pPr>
        <w:pStyle w:val="AppendixX3"/>
        <w:spacing w:before="40"/>
        <w:ind w:left="850"/>
      </w:pPr>
      <w:r>
        <w:t xml:space="preserve">Mode 10</w:t>
      </w:r>
    </w:p>
    <w:bookmarkStart w:id="137" w:name="fig:fea_modes_compare_1_4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41: Abaqus — mode 10, 140.222 Hz" title="" id="4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2_hqFalse_riFalse/fea.mesh.mode_1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41: Abaqus — mode 10, 140.222 Hz</w:t>
      </w:r>
    </w:p>
    <w:bookmarkEnd w:id="133"/>
    <w:bookmarkStart w:id="138" w:name="fig:fea_modes_compare_1_4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42: Sesam — mode 10, 129.631 Hz" title="" id="4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2_hqFalse_riFalse/fea.mesh.mode_10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42: Sesam — mode 10, 129.631 Hz</w:t>
      </w:r>
    </w:p>
    <w:bookmarkEnd w:id="13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140.220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+3.92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776236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2.58e-24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4.27e-23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1.99e-23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-1.61e-12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6.54e-12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4.46e-12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129.631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663407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8.02e-21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1.12e-21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1.11e-21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8.95e-11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3.35e-11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-3.34e-11</w:t>
            </w:r>
          </w:p>
        </w:tc>
      </w:tr>
    </w:tbl>
    <w:bookmarkEnd w:id="135"/>
    <w:bookmarkStart w:id="139" w:name="mode-11-1"/>
    <w:p>
      <w:pPr>
        <w:pStyle w:val="AppendixX3"/>
        <w:spacing w:before="40"/>
        <w:ind w:left="850"/>
      </w:pPr>
      <w:r>
        <w:t xml:space="preserve">Mode 11</w:t>
      </w:r>
    </w:p>
    <w:bookmarkStart w:id="140" w:name="fig:fea_modes_compare_1_4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43: Abaqus — mode 11, 161.799 Hz" title="" id="4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line_o2_hqFalse_riFalse/fea.mesh.mode_11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43: Abaqus — mode 11, 161.799 Hz</w:t>
      </w:r>
    </w:p>
    <w:bookmarkEnd w:id="136"/>
    <w:bookmarkStart w:id="141" w:name="fig:fea_modes_compare_1_4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44: Sesam — mode 11, 142.572 Hz" title="" id="4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line_o2_hqFalse_riFalse/fea.mesh.mode_11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44: Sesam — mode 11, 142.572 Hz</w:t>
      </w:r>
    </w:p>
    <w:bookmarkEnd w:id="13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161.800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+6.32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1.03351e+06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2.30e-19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1.18e-19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3.67e-20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-4.80e-10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-3.43e-10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1.92e-10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142.572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802475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5.07e-20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7.21e-21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59.58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2.25e-10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8.49e-11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-7.719</w:t>
            </w:r>
          </w:p>
        </w:tc>
      </w:tr>
    </w:tbl>
    <w:bookmarkEnd w:id="138"/>
    <w:bookmarkEnd w:id="139"/>
    <w:bookmarkStart w:id="142" w:name="shell-1st-order-tri"/>
    <w:p>
      <w:pPr>
        <w:pStyle w:val="AppendixX2"/>
        <w:spacing w:before="40"/>
        <w:ind w:left="850"/>
      </w:pPr>
      <w:r>
        <w:t xml:space="preserve">Shell, 1st order, TRI</w:t>
      </w:r>
    </w:p>
    <w:bookmarkStart w:id="143" w:name="mode-1-2"/>
    <w:p>
      <w:pPr>
        <w:pStyle w:val="AppendixX3"/>
        <w:spacing w:before="40"/>
        <w:ind w:left="850"/>
      </w:pPr>
      <w:r>
        <w:t xml:space="preserve">Mode 1</w:t>
      </w:r>
    </w:p>
    <w:bookmarkStart w:id="144" w:name="fig:fea_modes_compare_1_4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45: Sesam — mode 1, 13.641 Hz" title="" id="4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False_riFalse/fea.mesh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45: Sesam — mode 1, 13.641 Hz</w:t>
      </w:r>
    </w:p>
    <w:bookmarkEnd w:id="14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13.641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7346.4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2.57e-27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7.93e-25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-5.07e-14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-10.951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-8.90e-13</w:t>
            </w:r>
          </w:p>
        </w:tc>
      </w:tr>
    </w:tbl>
    <w:bookmarkEnd w:id="141"/>
    <w:bookmarkStart w:id="145" w:name="mode-2-2"/>
    <w:p>
      <w:pPr>
        <w:pStyle w:val="AppendixX3"/>
        <w:spacing w:before="40"/>
        <w:ind w:left="850"/>
      </w:pPr>
      <w:r>
        <w:t xml:space="preserve">Mode 2</w:t>
      </w:r>
    </w:p>
    <w:bookmarkStart w:id="146" w:name="fig:fea_modes_compare_1_4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46: Sesam — mode 2, 20.198 Hz" title="" id="5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False_riFalse/fea.mesh.mode_2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46: Sesam — mode 2, 20.198 Hz</w:t>
      </w:r>
    </w:p>
    <w:bookmarkEnd w:id="142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20.198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16106.1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1.92e-26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3.02e-11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1.82e-25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1.38e-13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-5.49e-06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4.26e-13</w:t>
            </w:r>
          </w:p>
        </w:tc>
      </w:tr>
    </w:tbl>
    <w:bookmarkEnd w:id="143"/>
    <w:bookmarkStart w:id="147" w:name="mode-3-2"/>
    <w:p>
      <w:pPr>
        <w:pStyle w:val="AppendixX3"/>
        <w:spacing w:before="40"/>
        <w:ind w:left="850"/>
      </w:pPr>
      <w:r>
        <w:t xml:space="preserve">Mode 3</w:t>
      </w:r>
    </w:p>
    <w:bookmarkStart w:id="148" w:name="fig:fea_modes_compare_1_4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47: Sesam — mode 3, 52.192 Hz" title="" id="5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False_riFalse/fea.mesh.mode_3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47: Sesam — mode 3, 52.192 Hz</w:t>
      </w:r>
    </w:p>
    <w:bookmarkEnd w:id="14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52.192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107540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4.79e-10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1.24e-24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122.03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-2.19e-05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1.12e-12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-11.047</w:t>
            </w:r>
          </w:p>
        </w:tc>
      </w:tr>
    </w:tbl>
    <w:bookmarkEnd w:id="145"/>
    <w:bookmarkStart w:id="149" w:name="mode-4-2"/>
    <w:p>
      <w:pPr>
        <w:pStyle w:val="AppendixX3"/>
        <w:spacing w:before="40"/>
        <w:ind w:left="850"/>
      </w:pPr>
      <w:r>
        <w:t xml:space="preserve">Mode 4</w:t>
      </w:r>
    </w:p>
    <w:bookmarkStart w:id="150" w:name="fig:fea_modes_compare_1_4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48: Sesam — mode 4, 79.523 Hz" title="" id="5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False_riFalse/fea.mesh.mode_4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48: Sesam — mode 4, 79.523 Hz</w:t>
      </w:r>
    </w:p>
    <w:bookmarkEnd w:id="146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79.523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249655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1.26e-27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1.11e-25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3.55e-14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-6.048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-3.33e-13</w:t>
            </w:r>
          </w:p>
        </w:tc>
      </w:tr>
    </w:tbl>
    <w:bookmarkEnd w:id="147"/>
    <w:bookmarkStart w:id="151" w:name="mode-5-2"/>
    <w:p>
      <w:pPr>
        <w:pStyle w:val="AppendixX3"/>
        <w:spacing w:before="40"/>
        <w:ind w:left="850"/>
      </w:pPr>
      <w:r>
        <w:t xml:space="preserve">Mode 5</w:t>
      </w:r>
    </w:p>
    <w:bookmarkStart w:id="152" w:name="fig:fea_modes_compare_1_4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49: Sesam — mode 5, 101.756 Hz" title="" id="5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False_riFalse/fea.mesh.mode_5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49: Sesam — mode 5, 101.756 Hz</w:t>
      </w:r>
    </w:p>
    <w:bookmarkEnd w:id="148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101.756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408770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3.14e-27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4.27e-09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1.42e-27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-5.60e-14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6.54e-05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-3.77e-14</w:t>
            </w:r>
          </w:p>
        </w:tc>
      </w:tr>
    </w:tbl>
    <w:bookmarkEnd w:id="149"/>
    <w:bookmarkStart w:id="153" w:name="mode-6-2"/>
    <w:p>
      <w:pPr>
        <w:pStyle w:val="AppendixX3"/>
        <w:spacing w:before="40"/>
        <w:ind w:left="850"/>
      </w:pPr>
      <w:r>
        <w:t xml:space="preserve">Mode 6</w:t>
      </w:r>
    </w:p>
    <w:bookmarkStart w:id="154" w:name="fig:fea_modes_compare_1_5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50: Sesam — mode 6, 125.093 Hz" title="" id="5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False_riFalse/fea.mesh.mode_6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50: Sesam — mode 6, 125.093 Hz</w:t>
      </w:r>
    </w:p>
    <w:bookmarkEnd w:id="15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125.093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617772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5.83e-28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2.58e-27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-2.41e-14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-0.252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5.08e-14</w:t>
            </w:r>
          </w:p>
        </w:tc>
      </w:tr>
    </w:tbl>
    <w:bookmarkEnd w:id="151"/>
    <w:bookmarkStart w:id="155" w:name="mode-7-2"/>
    <w:p>
      <w:pPr>
        <w:pStyle w:val="AppendixX3"/>
        <w:spacing w:before="40"/>
        <w:ind w:left="850"/>
      </w:pPr>
      <w:r>
        <w:t xml:space="preserve">Mode 7</w:t>
      </w:r>
    </w:p>
    <w:bookmarkStart w:id="156" w:name="fig:fea_modes_compare_1_5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51: Sesam — mode 7, 143.164 Hz" title="" id="5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False_riFalse/fea.mesh.mode_7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51: Sesam — mode 7, 143.164 Hz</w:t>
      </w:r>
    </w:p>
    <w:bookmarkEnd w:id="152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143.164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809150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1.19e-28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6.22e-28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-1.09e-14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-1.651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2.49e-14</w:t>
            </w:r>
          </w:p>
        </w:tc>
      </w:tr>
    </w:tbl>
    <w:bookmarkEnd w:id="153"/>
    <w:bookmarkStart w:id="157" w:name="mode-8-2"/>
    <w:p>
      <w:pPr>
        <w:pStyle w:val="AppendixX3"/>
        <w:spacing w:before="40"/>
        <w:ind w:left="850"/>
      </w:pPr>
      <w:r>
        <w:t xml:space="preserve">Mode 8</w:t>
      </w:r>
    </w:p>
    <w:bookmarkStart w:id="158" w:name="fig:fea_modes_compare_1_5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52: Sesam — mode 8, 166.668 Hz" title="" id="5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False_riFalse/fea.mesh.mode_8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52: Sesam — mode 8, 166.668 Hz</w:t>
      </w:r>
    </w:p>
    <w:bookmarkEnd w:id="15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166.668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1.09664e+06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1.64e-27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3.89e-27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-4.05e-14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-6.23e-14</w:t>
            </w:r>
          </w:p>
        </w:tc>
      </w:tr>
    </w:tbl>
    <w:bookmarkEnd w:id="155"/>
    <w:bookmarkStart w:id="159" w:name="mode-9-2"/>
    <w:p>
      <w:pPr>
        <w:pStyle w:val="AppendixX3"/>
        <w:spacing w:before="40"/>
        <w:ind w:left="850"/>
      </w:pPr>
      <w:r>
        <w:t xml:space="preserve">Mode 9</w:t>
      </w:r>
    </w:p>
    <w:bookmarkStart w:id="160" w:name="fig:fea_modes_compare_1_5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53: Sesam — mode 9, 191.533 Hz" title="" id="5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False_riFalse/fea.mesh.mode_9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53: Sesam — mode 9, 191.533 Hz</w:t>
      </w:r>
    </w:p>
    <w:bookmarkEnd w:id="156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191.533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1.44826e+06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2.66e-28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7.55e-28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-1.63e-14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-0.781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-2.75e-14</w:t>
            </w:r>
          </w:p>
        </w:tc>
      </w:tr>
    </w:tbl>
    <w:bookmarkEnd w:id="157"/>
    <w:bookmarkStart w:id="161" w:name="mode-10-2"/>
    <w:p>
      <w:pPr>
        <w:pStyle w:val="AppendixX3"/>
        <w:spacing w:before="40"/>
        <w:ind w:left="850"/>
      </w:pPr>
      <w:r>
        <w:t xml:space="preserve">Mode 10</w:t>
      </w:r>
    </w:p>
    <w:bookmarkStart w:id="162" w:name="fig:fea_modes_compare_1_5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54: Sesam — mode 10, 230.489 Hz" title="" id="5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False_riFalse/fea.mesh.mode_10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54: Sesam — mode 10, 230.489 Hz</w:t>
      </w:r>
    </w:p>
    <w:bookmarkEnd w:id="158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230.489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2.09731e+06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2.70e-28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2.42e-28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1.64e-14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-1.55e-14</w:t>
            </w:r>
          </w:p>
        </w:tc>
      </w:tr>
    </w:tbl>
    <w:bookmarkEnd w:id="159"/>
    <w:bookmarkStart w:id="163" w:name="mode-11-2"/>
    <w:p>
      <w:pPr>
        <w:pStyle w:val="AppendixX3"/>
        <w:spacing w:before="40"/>
        <w:ind w:left="850"/>
      </w:pPr>
      <w:r>
        <w:t xml:space="preserve">Mode 11</w:t>
      </w:r>
    </w:p>
    <w:bookmarkStart w:id="164" w:name="fig:fea_modes_compare_1_5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55: Sesam — mode 11, 257.362 Hz" title="" id="5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False_riFalse/fea.mesh.mode_11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55: Sesam — mode 11, 257.362 Hz</w:t>
      </w:r>
    </w:p>
    <w:bookmarkEnd w:id="16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257.362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2.61487e+06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6.51e-09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3.57e-22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41.62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-8.07e-05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-1.89e-11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-6.451</w:t>
            </w:r>
          </w:p>
        </w:tc>
      </w:tr>
    </w:tbl>
    <w:bookmarkEnd w:id="161"/>
    <w:bookmarkEnd w:id="162"/>
    <w:bookmarkStart w:id="165" w:name="shell-1st-order-quad"/>
    <w:p>
      <w:pPr>
        <w:pStyle w:val="AppendixX2"/>
        <w:spacing w:before="40"/>
        <w:ind w:left="850"/>
      </w:pPr>
      <w:r>
        <w:t xml:space="preserve">Shell, 1st order, QUAD</w:t>
      </w:r>
    </w:p>
    <w:bookmarkStart w:id="166" w:name="mode-1-3"/>
    <w:p>
      <w:pPr>
        <w:pStyle w:val="AppendixX3"/>
        <w:spacing w:before="40"/>
        <w:ind w:left="850"/>
      </w:pPr>
      <w:r>
        <w:t xml:space="preserve">Mode 1</w:t>
      </w:r>
    </w:p>
    <w:bookmarkStart w:id="167" w:name="fig:fea_modes_compare_1_5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56: Abaqus — mode 1, 12.780 Hz" title="" id="6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False/fea.mesh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56: Abaqus — mode 1, 12.780 Hz</w:t>
      </w:r>
    </w:p>
    <w:bookmarkEnd w:id="163"/>
    <w:bookmarkStart w:id="168" w:name="fig:fea_modes_compare_1_5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57: Sesam — mode 1, 12.763 Hz" title="" id="6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True_riFalse/fea.mesh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57: Sesam — mode 1, 12.763 Hz</w:t>
      </w:r>
    </w:p>
    <w:bookmarkEnd w:id="16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12.780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6448.4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7.41e-27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1.38e-25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-8.61e-14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-3.71e-13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12.763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6430.64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1.47e-28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2.22e-25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-1.21e-14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-4.71e-13</w:t>
            </w:r>
          </w:p>
        </w:tc>
      </w:tr>
    </w:tbl>
    <w:bookmarkEnd w:id="165"/>
    <w:bookmarkStart w:id="169" w:name="mode-2-3"/>
    <w:p>
      <w:pPr>
        <w:pStyle w:val="AppendixX3"/>
        <w:spacing w:before="40"/>
        <w:ind w:left="850"/>
      </w:pPr>
      <w:r>
        <w:t xml:space="preserve">Mode 2</w:t>
      </w:r>
    </w:p>
    <w:bookmarkStart w:id="170" w:name="fig:fea_modes_compare_1_5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58: Abaqus — mode 2, 19.593 Hz" title="" id="6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False/fea.mesh.mode_2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58: Abaqus — mode 2, 19.593 Hz</w:t>
      </w:r>
    </w:p>
    <w:bookmarkEnd w:id="166"/>
    <w:bookmarkStart w:id="171" w:name="fig:fea_modes_compare_1_5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59: Sesam — mode 2, 19.394 Hz" title="" id="6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True_riFalse/fea.mesh.mode_2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59: Sesam — mode 2, 19.394 Hz</w:t>
      </w:r>
    </w:p>
    <w:bookmarkEnd w:id="16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19.593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15155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1.46e-27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1.08e-19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7.67e-28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-3.83e-14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3.28e-10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2.77e-14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19.394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14849.3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3.80e-27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7.43e-19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1.60e-24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-6.16e-14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-8.62e-10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-1.27e-12</w:t>
            </w:r>
          </w:p>
        </w:tc>
      </w:tr>
    </w:tbl>
    <w:bookmarkEnd w:id="168"/>
    <w:bookmarkStart w:id="172" w:name="mode-3-3"/>
    <w:p>
      <w:pPr>
        <w:pStyle w:val="AppendixX3"/>
        <w:spacing w:before="40"/>
        <w:ind w:left="850"/>
      </w:pPr>
      <w:r>
        <w:t xml:space="preserve">Mode 3</w:t>
      </w:r>
    </w:p>
    <w:bookmarkStart w:id="173" w:name="fig:fea_modes_compare_1_6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60: Abaqus — mode 3, 51.998 Hz" title="" id="6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False/fea.mesh.mode_3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60: Abaqus — mode 3, 51.998 Hz</w:t>
      </w:r>
    </w:p>
    <w:bookmarkEnd w:id="169"/>
    <w:bookmarkStart w:id="174" w:name="fig:fea_modes_compare_1_6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61: Sesam — mode 3, 51.991 Hz" title="" id="6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True_riFalse/fea.mesh.mode_3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61: Sesam — mode 3, 51.991 Hz</w:t>
      </w:r>
    </w:p>
    <w:bookmarkEnd w:id="17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106741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1.35e-26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1.05e-26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-1.16e-13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1.03e-13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11.046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51.991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106714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7.03e-28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8.47e-26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122.00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2.65e-14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-2.91e-13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-11.046</w:t>
            </w:r>
          </w:p>
        </w:tc>
      </w:tr>
    </w:tbl>
    <w:bookmarkEnd w:id="171"/>
    <w:bookmarkStart w:id="175" w:name="mode-4-3"/>
    <w:p>
      <w:pPr>
        <w:pStyle w:val="AppendixX3"/>
        <w:spacing w:before="40"/>
        <w:ind w:left="850"/>
      </w:pPr>
      <w:r>
        <w:t xml:space="preserve">Mode 4</w:t>
      </w:r>
    </w:p>
    <w:bookmarkStart w:id="176" w:name="fig:fea_modes_compare_1_6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62: Abaqus — mode 4, 75.683 Hz" title="" id="6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False/fea.mesh.mode_4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62: Abaqus — mode 4, 75.683 Hz</w:t>
      </w:r>
    </w:p>
    <w:bookmarkEnd w:id="172"/>
    <w:bookmarkStart w:id="177" w:name="fig:fea_modes_compare_1_6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63: Sesam — mode 4, 75.192 Hz" title="" id="6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True_riFalse/fea.mesh.mode_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63: Sesam — mode 4, 75.192 Hz</w:t>
      </w:r>
    </w:p>
    <w:bookmarkEnd w:id="173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75.683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226132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1.88e-28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2.68e-25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-1.37e-14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-6.076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-5.18e-13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75.192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223203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1.10e-27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36.80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9.74e-26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-3.31e-14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-6.067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-3.12e-13</w:t>
            </w:r>
          </w:p>
        </w:tc>
      </w:tr>
    </w:tbl>
    <w:bookmarkEnd w:id="174"/>
    <w:bookmarkStart w:id="178" w:name="mode-5-3"/>
    <w:p>
      <w:pPr>
        <w:pStyle w:val="AppendixX3"/>
        <w:spacing w:before="40"/>
        <w:ind w:left="850"/>
      </w:pPr>
      <w:r>
        <w:t xml:space="preserve">Mode 5</w:t>
      </w:r>
    </w:p>
    <w:bookmarkStart w:id="179" w:name="fig:fea_modes_compare_1_6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64: Abaqus — mode 5, 96.393 Hz" title="" id="6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False/fea.mesh.mode_5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64: Abaqus — mode 5, 96.393 Hz</w:t>
      </w:r>
    </w:p>
    <w:bookmarkEnd w:id="175"/>
    <w:bookmarkStart w:id="180" w:name="fig:fea_modes_compare_1_6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65: Sesam — mode 5, 95.930 Hz" title="" id="6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True_riFalse/fea.mesh.mode_5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65: Sesam — mode 5, 95.930 Hz</w:t>
      </w:r>
    </w:p>
    <w:bookmarkEnd w:id="176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96.393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366818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7.25e-28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1.11e-22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7.70e-26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-2.69e-14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-1.05e-11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-2.77e-13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95.930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363300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2.85e-27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3.92e-24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2.81e-26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5.34e-14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1.98e-12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-1.68e-13</w:t>
            </w:r>
          </w:p>
        </w:tc>
      </w:tr>
    </w:tbl>
    <w:bookmarkEnd w:id="177"/>
    <w:bookmarkStart w:id="181" w:name="mode-6-3"/>
    <w:p>
      <w:pPr>
        <w:pStyle w:val="AppendixX3"/>
        <w:spacing w:before="40"/>
        <w:ind w:left="850"/>
      </w:pPr>
      <w:r>
        <w:t xml:space="preserve">Mode 6</w:t>
      </w:r>
    </w:p>
    <w:bookmarkStart w:id="182" w:name="fig:fea_modes_compare_1_6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66: Abaqus — mode 6, 126.961 Hz" title="" id="7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False/fea.mesh.mode_6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66: Abaqus — mode 6, 126.961 Hz</w:t>
      </w:r>
    </w:p>
    <w:bookmarkEnd w:id="178"/>
    <w:bookmarkStart w:id="183" w:name="fig:fea_modes_compare_1_6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67: Sesam — mode 6, 125.116 Hz" title="" id="7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True_riFalse/fea.mesh.mode_6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67: Sesam — mode 6, 125.116 Hz</w:t>
      </w:r>
    </w:p>
    <w:bookmarkEnd w:id="179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126.960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+0.73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636351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1.52e-27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2.42e-26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3.90e-14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-1.56e-13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125.116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617993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3.59e-30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5.54e-26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-1.89e-15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-2.35e-13</w:t>
            </w:r>
          </w:p>
        </w:tc>
      </w:tr>
    </w:tbl>
    <w:bookmarkEnd w:id="180"/>
    <w:bookmarkStart w:id="184" w:name="mode-7-3"/>
    <w:p>
      <w:pPr>
        <w:pStyle w:val="AppendixX3"/>
        <w:spacing w:before="40"/>
        <w:ind w:left="850"/>
      </w:pPr>
      <w:r>
        <w:t xml:space="preserve">Mode 7</w:t>
      </w:r>
    </w:p>
    <w:bookmarkStart w:id="185" w:name="fig:fea_modes_compare_1_6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68: Abaqus — mode 7, 145.566 Hz" title="" id="7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False/fea.mesh.mode_7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68: Abaqus — mode 7, 145.566 Hz</w:t>
      </w:r>
    </w:p>
    <w:bookmarkEnd w:id="181"/>
    <w:bookmarkStart w:id="186" w:name="fig:fea_modes_compare_1_6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69: Sesam — mode 7, 141.556 Hz" title="" id="7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True_riFalse/fea.mesh.mode_7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69: Sesam — mode 7, 141.556 Hz</w:t>
      </w:r>
    </w:p>
    <w:bookmarkEnd w:id="182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145.570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+1.40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836523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2.58e-27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1.12e-26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-5.08e-14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1.06e-13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141.556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791068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1.14e-28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3.39e-27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1.07e-14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-1.860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5.82e-14</w:t>
            </w:r>
          </w:p>
        </w:tc>
      </w:tr>
    </w:tbl>
    <w:bookmarkEnd w:id="183"/>
    <w:bookmarkStart w:id="187" w:name="mode-8-3"/>
    <w:p>
      <w:pPr>
        <w:pStyle w:val="AppendixX3"/>
        <w:spacing w:before="40"/>
        <w:ind w:left="850"/>
      </w:pPr>
      <w:r>
        <w:t xml:space="preserve">Mode 8</w:t>
      </w:r>
    </w:p>
    <w:bookmarkStart w:id="188" w:name="fig:fea_modes_compare_1_7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70: Abaqus — mode 8, 169.389 Hz" title="" id="7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False/fea.mesh.mode_8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70: Abaqus — mode 8, 169.389 Hz</w:t>
      </w:r>
    </w:p>
    <w:bookmarkEnd w:id="184"/>
    <w:bookmarkStart w:id="189" w:name="fig:fea_modes_compare_1_7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71: Sesam — mode 8, 165.030 Hz" title="" id="7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True_riFalse/fea.mesh.mode_8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71: Sesam — mode 8, 165.030 Hz</w:t>
      </w:r>
    </w:p>
    <w:bookmarkEnd w:id="185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169.390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+1.30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1.13275e+06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2.66e-25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5.68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6.71e-24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-5.16e-13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2.383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-2.59e-12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165.030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1.07519e+06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5.28e-28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4.78e-26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2.30e-14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2.19e-13</w:t>
            </w:r>
          </w:p>
        </w:tc>
      </w:tr>
    </w:tbl>
    <w:bookmarkEnd w:id="186"/>
    <w:bookmarkStart w:id="190" w:name="mode-9-3"/>
    <w:p>
      <w:pPr>
        <w:pStyle w:val="AppendixX3"/>
        <w:spacing w:before="40"/>
        <w:ind w:left="850"/>
      </w:pPr>
      <w:r>
        <w:t xml:space="preserve">Mode 9</w:t>
      </w:r>
    </w:p>
    <w:bookmarkStart w:id="191" w:name="fig:fea_modes_compare_1_7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72: Abaqus — mode 9, 198.748 Hz" title="" id="7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False/fea.mesh.mode_9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72: Abaqus — mode 9, 198.748 Hz</w:t>
      </w:r>
    </w:p>
    <w:bookmarkEnd w:id="187"/>
    <w:bookmarkStart w:id="192" w:name="fig:fea_modes_compare_1_7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73: Sesam — mode 9, 190.099 Hz" title="" id="7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True_riFalse/fea.mesh.mode_9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73: Sesam — mode 9, 190.099 Hz</w:t>
      </w:r>
    </w:p>
    <w:bookmarkEnd w:id="188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198.750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+2.22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1.55943e+06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6.12e-22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0.59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1.15e-20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2.47e-11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1.07e-10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190.099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1.42665e+06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1.59e-30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8.33e-27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-1.26e-15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9.13e-14</w:t>
            </w:r>
          </w:p>
        </w:tc>
      </w:tr>
    </w:tbl>
    <w:bookmarkEnd w:id="189"/>
    <w:bookmarkStart w:id="193" w:name="mode-10-3"/>
    <w:p>
      <w:pPr>
        <w:pStyle w:val="AppendixX3"/>
        <w:spacing w:before="40"/>
        <w:ind w:left="850"/>
      </w:pPr>
      <w:r>
        <w:t xml:space="preserve">Mode 10</w:t>
      </w:r>
    </w:p>
    <w:bookmarkStart w:id="194" w:name="fig:fea_modes_compare_1_7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74: Abaqus — mode 10, 242.545 Hz" title="" id="7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False/fea.mesh.mode_10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74: Abaqus — mode 10, 242.545 Hz</w:t>
      </w:r>
    </w:p>
    <w:bookmarkEnd w:id="190"/>
    <w:bookmarkStart w:id="195" w:name="fig:fea_modes_compare_1_7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75: Sesam — mode 10, 229.460 Hz" title="" id="7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True_riFalse/fea.mesh.mode_10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75: Sesam — mode 10, 229.460 Hz</w:t>
      </w:r>
    </w:p>
    <w:bookmarkEnd w:id="191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242.550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+2.77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2.32244e+06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3.62e-17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5.68e-16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6.02e-09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2.38e-08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229.460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-2.77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2.07861e+06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1.61e-29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5.25e-27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4.01e-15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-1.150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7.25e-14</w:t>
            </w:r>
          </w:p>
        </w:tc>
      </w:tr>
    </w:tbl>
    <w:bookmarkEnd w:id="192"/>
    <w:bookmarkStart w:id="196" w:name="mode-11-3"/>
    <w:p>
      <w:pPr>
        <w:pStyle w:val="AppendixX3"/>
        <w:spacing w:before="40"/>
        <w:ind w:left="850"/>
      </w:pPr>
      <w:r>
        <w:t xml:space="preserve">Mode 11</w:t>
      </w:r>
    </w:p>
    <w:bookmarkStart w:id="197" w:name="fig:fea_modes_compare_1_7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76: Abaqus — mode 11, 252.486 Hz" title="" id="8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False/fea.mesh.mode_11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76: Abaqus — mode 11, 252.486 Hz</w:t>
      </w:r>
    </w:p>
    <w:bookmarkEnd w:id="193"/>
    <w:bookmarkStart w:id="198" w:name="fig:fea_modes_compare_1_7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77: Sesam — mode 11, 250.786 Hz" title="" id="8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1_hqTrue_riFalse/fea.mesh.mode_1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77: Sesam — mode 11, 250.786 Hz</w:t>
      </w:r>
    </w:p>
    <w:bookmarkEnd w:id="19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252.490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2.51672e+06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4.88e-17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7.27e-17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7.10e-16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6.99e-09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8.53e-09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2.67e-08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250.786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2.48294e+06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6.33e-21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7.49e-20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8.71e-20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7.95e-11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-2.74e-10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2.95e-10</w:t>
            </w:r>
          </w:p>
        </w:tc>
      </w:tr>
    </w:tbl>
    <w:bookmarkEnd w:id="195"/>
    <w:bookmarkEnd w:id="196"/>
    <w:bookmarkStart w:id="199" w:name="shell-1st-order-quad-reduced-integration"/>
    <w:p>
      <w:pPr>
        <w:pStyle w:val="AppendixX2"/>
        <w:spacing w:before="40"/>
        <w:ind w:left="850"/>
      </w:pPr>
      <w:r>
        <w:t xml:space="preserve">Shell, 1st order, QUAD, reduced integration</w:t>
      </w:r>
    </w:p>
    <w:bookmarkStart w:id="200" w:name="mode-1-4"/>
    <w:p>
      <w:pPr>
        <w:pStyle w:val="AppendixX3"/>
        <w:spacing w:before="40"/>
        <w:ind w:left="850"/>
      </w:pPr>
      <w:r>
        <w:t xml:space="preserve">Mode 1</w:t>
      </w:r>
    </w:p>
    <w:bookmarkStart w:id="201" w:name="fig:fea_modes_compare_1_7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78: Abaqus — mode 1, 12.373 Hz" title="" id="8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True/fea.mesh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78: Abaqus — mode 1, 12.373 Hz</w:t>
      </w:r>
    </w:p>
    <w:bookmarkEnd w:id="19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12.373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6043.5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1.78e-28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5.35e-25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-1.33e-14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-7.31e-13</w:t>
            </w:r>
          </w:p>
        </w:tc>
      </w:tr>
    </w:tbl>
    <w:bookmarkEnd w:id="198"/>
    <w:bookmarkStart w:id="202" w:name="mode-2-4"/>
    <w:p>
      <w:pPr>
        <w:pStyle w:val="AppendixX3"/>
        <w:spacing w:before="40"/>
        <w:ind w:left="850"/>
      </w:pPr>
      <w:r>
        <w:t xml:space="preserve">Mode 2</w:t>
      </w:r>
    </w:p>
    <w:bookmarkStart w:id="203" w:name="fig:fea_modes_compare_1_7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79: Abaqus — mode 2, 19.230 Hz" title="" id="8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True/fea.mesh.mode_2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79: Abaqus — mode 2, 19.230 Hz</w:t>
      </w:r>
    </w:p>
    <w:bookmarkEnd w:id="199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19.230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14599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1.25e-26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4.60e-21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3.10e-26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-1.12e-13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6.78e-11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1.76e-13</w:t>
            </w:r>
          </w:p>
        </w:tc>
      </w:tr>
    </w:tbl>
    <w:bookmarkEnd w:id="200"/>
    <w:bookmarkStart w:id="204" w:name="mode-3-4"/>
    <w:p>
      <w:pPr>
        <w:pStyle w:val="AppendixX3"/>
        <w:spacing w:before="40"/>
        <w:ind w:left="850"/>
      </w:pPr>
      <w:r>
        <w:t xml:space="preserve">Mode 3</w:t>
      </w:r>
    </w:p>
    <w:bookmarkStart w:id="205" w:name="fig:fea_modes_compare_1_8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80: Abaqus — mode 3, 51.849 Hz" title="" id="8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True/fea.mesh.mode_3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80: Abaqus — mode 3, 51.849 Hz</w:t>
      </w:r>
    </w:p>
    <w:bookmarkEnd w:id="201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51.849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106129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2.48e-26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1.19e-25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-1.58e-13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3.45e-13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11.046</w:t>
            </w:r>
          </w:p>
        </w:tc>
      </w:tr>
    </w:tbl>
    <w:bookmarkEnd w:id="202"/>
    <w:bookmarkStart w:id="206" w:name="mode-4-4"/>
    <w:p>
      <w:pPr>
        <w:pStyle w:val="AppendixX3"/>
        <w:spacing w:before="40"/>
        <w:ind w:left="850"/>
      </w:pPr>
      <w:r>
        <w:t xml:space="preserve">Mode 4</w:t>
      </w:r>
    </w:p>
    <w:bookmarkStart w:id="207" w:name="fig:fea_modes_compare_1_8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81: Abaqus — mode 4, 73.558 Hz" title="" id="8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True/fea.mesh.mode_4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81: Abaqus — mode 4, 73.558 Hz</w:t>
      </w:r>
    </w:p>
    <w:bookmarkEnd w:id="203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73.558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213611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2.90e-28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6.94e-25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-1.70e-14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-6.081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-8.33e-13</w:t>
            </w:r>
          </w:p>
        </w:tc>
      </w:tr>
    </w:tbl>
    <w:bookmarkEnd w:id="204"/>
    <w:bookmarkStart w:id="208" w:name="mode-5-4"/>
    <w:p>
      <w:pPr>
        <w:pStyle w:val="AppendixX3"/>
        <w:spacing w:before="40"/>
        <w:ind w:left="850"/>
      </w:pPr>
      <w:r>
        <w:t xml:space="preserve">Mode 5</w:t>
      </w:r>
    </w:p>
    <w:bookmarkStart w:id="209" w:name="fig:fea_modes_compare_1_8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82: Abaqus — mode 5, 93.709 Hz" title="" id="8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True/fea.mesh.mode_5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82: Abaqus — mode 5, 93.709 Hz</w:t>
      </w:r>
    </w:p>
    <w:bookmarkEnd w:id="205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93.709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346673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9.12e-28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8.02e-23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5.37e-26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3.02e-14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-8.96e-12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2.32e-13</w:t>
            </w:r>
          </w:p>
        </w:tc>
      </w:tr>
    </w:tbl>
    <w:bookmarkEnd w:id="206"/>
    <w:bookmarkStart w:id="210" w:name="mode-6-4"/>
    <w:p>
      <w:pPr>
        <w:pStyle w:val="AppendixX3"/>
        <w:spacing w:before="40"/>
        <w:ind w:left="850"/>
      </w:pPr>
      <w:r>
        <w:t xml:space="preserve">Mode 6</w:t>
      </w:r>
    </w:p>
    <w:bookmarkStart w:id="211" w:name="fig:fea_modes_compare_1_8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83: Abaqus — mode 6, 126.870 Hz" title="" id="8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True/fea.mesh.mode_6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83: Abaqus — mode 6, 126.870 Hz</w:t>
      </w:r>
    </w:p>
    <w:bookmarkEnd w:id="20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126.870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635447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1.80e-30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1.84e-25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1.34e-15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-4.29e-13</w:t>
            </w:r>
          </w:p>
        </w:tc>
      </w:tr>
    </w:tbl>
    <w:bookmarkEnd w:id="208"/>
    <w:bookmarkStart w:id="212" w:name="mode-7-4"/>
    <w:p>
      <w:pPr>
        <w:pStyle w:val="AppendixX3"/>
        <w:spacing w:before="40"/>
        <w:ind w:left="850"/>
      </w:pPr>
      <w:r>
        <w:t xml:space="preserve">Mode 7</w:t>
      </w:r>
    </w:p>
    <w:bookmarkStart w:id="213" w:name="fig:fea_modes_compare_1_8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84: Abaqus — mode 7, 144.579 Hz" title="" id="8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True/fea.mesh.mode_7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84: Abaqus — mode 7, 144.579 Hz</w:t>
      </w:r>
    </w:p>
    <w:bookmarkEnd w:id="209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144.580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825226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1.99e-29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3.79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2.06e-26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-4.46e-15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1.43e-13</w:t>
            </w:r>
          </w:p>
        </w:tc>
      </w:tr>
    </w:tbl>
    <w:bookmarkEnd w:id="210"/>
    <w:bookmarkStart w:id="214" w:name="mode-8-4"/>
    <w:p>
      <w:pPr>
        <w:pStyle w:val="AppendixX3"/>
        <w:spacing w:before="40"/>
        <w:ind w:left="850"/>
      </w:pPr>
      <w:r>
        <w:t xml:space="preserve">Mode 8</w:t>
      </w:r>
    </w:p>
    <w:bookmarkStart w:id="215" w:name="fig:fea_modes_compare_1_8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85: Abaqus — mode 8, 168.379 Hz" title="" id="8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True/fea.mesh.mode_8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85: Abaqus — mode 8, 168.379 Hz</w:t>
      </w:r>
    </w:p>
    <w:bookmarkEnd w:id="211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168.380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1.11927e+06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2.51e-28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1.97e-25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1.58e-14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-4.43e-13</w:t>
            </w:r>
          </w:p>
        </w:tc>
      </w:tr>
    </w:tbl>
    <w:bookmarkEnd w:id="212"/>
    <w:bookmarkStart w:id="216" w:name="mode-9-4"/>
    <w:p>
      <w:pPr>
        <w:pStyle w:val="AppendixX3"/>
        <w:spacing w:before="40"/>
        <w:ind w:left="850"/>
      </w:pPr>
      <w:r>
        <w:t xml:space="preserve">Mode 9</w:t>
      </w:r>
    </w:p>
    <w:bookmarkStart w:id="217" w:name="fig:fea_modes_compare_1_8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86: Abaqus — mode 9, 197.515 Hz" title="" id="9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True/fea.mesh.mode_9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86: Abaqus — mode 9, 197.515 Hz</w:t>
      </w:r>
    </w:p>
    <w:bookmarkEnd w:id="213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197.510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1.54014e+06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1.19e-26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1.84e-25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-1.09e-13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4.29e-13</w:t>
            </w:r>
          </w:p>
        </w:tc>
      </w:tr>
    </w:tbl>
    <w:bookmarkEnd w:id="214"/>
    <w:bookmarkStart w:id="218" w:name="mode-10-4"/>
    <w:p>
      <w:pPr>
        <w:pStyle w:val="AppendixX3"/>
        <w:spacing w:before="40"/>
        <w:ind w:left="850"/>
      </w:pPr>
      <w:r>
        <w:t xml:space="preserve">Mode 10</w:t>
      </w:r>
    </w:p>
    <w:bookmarkStart w:id="219" w:name="fig:fea_modes_compare_1_8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87: Abaqus — mode 10, 241.275 Hz" title="" id="9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True/fea.mesh.mode_10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87: Abaqus — mode 10, 241.275 Hz</w:t>
      </w:r>
    </w:p>
    <w:bookmarkEnd w:id="215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241.270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2.29818e+06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2.67e-22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1.69e-20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-1.63e-11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1.269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1.30e-10</w:t>
            </w:r>
          </w:p>
        </w:tc>
      </w:tr>
    </w:tbl>
    <w:bookmarkEnd w:id="216"/>
    <w:bookmarkStart w:id="220" w:name="mode-11-4"/>
    <w:p>
      <w:pPr>
        <w:pStyle w:val="AppendixX3"/>
        <w:spacing w:before="40"/>
        <w:ind w:left="850"/>
      </w:pPr>
      <w:r>
        <w:t xml:space="preserve">Mode 11</w:t>
      </w:r>
    </w:p>
    <w:bookmarkStart w:id="221" w:name="fig:fea_modes_compare_1_8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88: Abaqus — mode 11, 245.071 Hz" title="" id="9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1_hqTrue_riTrue/fea.mesh.mode_11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88: Abaqus — mode 11, 245.071 Hz</w:t>
      </w:r>
    </w:p>
    <w:bookmarkEnd w:id="21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245.070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2.37106e+06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3.55e-23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8.35e-21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8.47e-21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-5.95e-12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9.14e-11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9.20e-11</w:t>
            </w:r>
          </w:p>
        </w:tc>
      </w:tr>
    </w:tbl>
    <w:bookmarkEnd w:id="218"/>
    <w:bookmarkEnd w:id="219"/>
    <w:bookmarkStart w:id="222" w:name="shell-2nd-order-tri"/>
    <w:p>
      <w:pPr>
        <w:pStyle w:val="AppendixX2"/>
        <w:spacing w:before="40"/>
        <w:ind w:left="850"/>
      </w:pPr>
      <w:r>
        <w:t xml:space="preserve">Shell, 2nd order, TRI</w:t>
      </w:r>
    </w:p>
    <w:bookmarkStart w:id="223" w:name="mode-1-5"/>
    <w:p>
      <w:pPr>
        <w:pStyle w:val="AppendixX3"/>
        <w:spacing w:before="40"/>
        <w:ind w:left="850"/>
      </w:pPr>
      <w:r>
        <w:t xml:space="preserve">Mode 1</w:t>
      </w:r>
    </w:p>
    <w:bookmarkStart w:id="224" w:name="fig:fea_modes_compare_1_8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89: Abaqus — mode 1, 12.756 Hz" title="" id="9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False_riFalse/fea.mesh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89: Abaqus — mode 1, 12.756 Hz</w:t>
      </w:r>
    </w:p>
    <w:bookmarkEnd w:id="220"/>
    <w:bookmarkStart w:id="225" w:name="fig:fea_modes_compare_1_9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90: Sesam — mode 1, 12.756 Hz" title="" id="9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False_riFalse/fea.mesh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90: Sesam — mode 1, 12.756 Hz</w:t>
      </w:r>
    </w:p>
    <w:bookmarkEnd w:id="221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9.02e-04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6423.3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2.07e-18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3.02e-12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1.44e-09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1.74e-06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-9.02e-04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6423.52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1.73e-27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5.84e-24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-4.16e-14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-2.42e-12</w:t>
            </w:r>
          </w:p>
        </w:tc>
      </w:tr>
    </w:tbl>
    <w:bookmarkEnd w:id="222"/>
    <w:bookmarkStart w:id="226" w:name="mode-2-5"/>
    <w:p>
      <w:pPr>
        <w:pStyle w:val="AppendixX3"/>
        <w:spacing w:before="40"/>
        <w:ind w:left="850"/>
      </w:pPr>
      <w:r>
        <w:t xml:space="preserve">Mode 2</w:t>
      </w:r>
    </w:p>
    <w:bookmarkStart w:id="227" w:name="fig:fea_modes_compare_1_9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91: Abaqus — mode 2, 19.567 Hz" title="" id="9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False_riFalse/fea.mesh.mode_2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91: Abaqus — mode 2, 19.567 Hz</w:t>
      </w:r>
    </w:p>
    <w:bookmarkEnd w:id="223"/>
    <w:bookmarkStart w:id="228" w:name="fig:fea_modes_compare_1_9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92: Sesam — mode 2, 19.505 Hz" title="" id="9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False_riFalse/fea.mesh.mode_2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92: Sesam — mode 2, 19.505 Hz</w:t>
      </w:r>
    </w:p>
    <w:bookmarkEnd w:id="22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19.567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15115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3.71e-13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3.08e-10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4.41e-12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6.09e-07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1.75e-05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-2.10e-06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19.505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15019.1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2.03e-25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1.78e-08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1.33e-23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4.51e-13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1.33e-04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3.65e-12</w:t>
            </w:r>
          </w:p>
        </w:tc>
      </w:tr>
    </w:tbl>
    <w:bookmarkEnd w:id="225"/>
    <w:bookmarkStart w:id="229" w:name="mode-3-5"/>
    <w:p>
      <w:pPr>
        <w:pStyle w:val="AppendixX3"/>
        <w:spacing w:before="40"/>
        <w:ind w:left="850"/>
      </w:pPr>
      <w:r>
        <w:t xml:space="preserve">Mode 3</w:t>
      </w:r>
    </w:p>
    <w:bookmarkStart w:id="230" w:name="fig:fea_modes_compare_1_9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93: Abaqus — mode 3, 51.969 Hz" title="" id="9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False_riFalse/fea.mesh.mode_3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93: Abaqus — mode 3, 51.969 Hz</w:t>
      </w:r>
    </w:p>
    <w:bookmarkEnd w:id="226"/>
    <w:bookmarkStart w:id="231" w:name="fig:fea_modes_compare_1_9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94: Sesam — mode 3, 51.970 Hz" title="" id="9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False_riFalse/fea.mesh.mode_3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94: Sesam — mode 3, 51.970 Hz</w:t>
      </w:r>
    </w:p>
    <w:bookmarkEnd w:id="22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51.969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-1.34e-03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106622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4.50e-14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9.00e-10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122.03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2.12e-07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3.00e-05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11.047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1.34e-03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106628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6.59e-14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9.47e-24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122.03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-2.57e-07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-3.08e-12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-11.047</w:t>
            </w:r>
          </w:p>
        </w:tc>
      </w:tr>
    </w:tbl>
    <w:bookmarkEnd w:id="228"/>
    <w:bookmarkStart w:id="232" w:name="mode-4-5"/>
    <w:p>
      <w:pPr>
        <w:pStyle w:val="AppendixX3"/>
        <w:spacing w:before="40"/>
        <w:ind w:left="850"/>
      </w:pPr>
      <w:r>
        <w:t xml:space="preserve">Mode 4</w:t>
      </w:r>
    </w:p>
    <w:bookmarkStart w:id="233" w:name="fig:fea_modes_compare_1_9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95: Abaqus — mode 4, 75.145 Hz" title="" id="9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False_riFalse/fea.mesh.mode_4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95: Abaqus — mode 4, 75.145 Hz</w:t>
      </w:r>
    </w:p>
    <w:bookmarkEnd w:id="229"/>
    <w:bookmarkStart w:id="234" w:name="fig:fea_modes_compare_1_9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96: Sesam — mode 4, 75.172 Hz" title="" id="10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False_riFalse/fea.mesh.mode_4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96: Sesam — mode 4, 75.172 Hz</w:t>
      </w:r>
    </w:p>
    <w:bookmarkEnd w:id="23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75.145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222925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1.24e-16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36.88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1.80e-09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1.11e-08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-6.073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4.24e-05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75.172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223083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1.13e-25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8.58e-25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-3.36e-13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6.072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-9.26e-13</w:t>
            </w:r>
          </w:p>
        </w:tc>
      </w:tr>
    </w:tbl>
    <w:bookmarkEnd w:id="231"/>
    <w:bookmarkStart w:id="235" w:name="mode-5-5"/>
    <w:p>
      <w:pPr>
        <w:pStyle w:val="AppendixX3"/>
        <w:spacing w:before="40"/>
        <w:ind w:left="850"/>
      </w:pPr>
      <w:r>
        <w:t xml:space="preserve">Mode 5</w:t>
      </w:r>
    </w:p>
    <w:bookmarkStart w:id="236" w:name="fig:fea_modes_compare_1_9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97: Abaqus — mode 5, 96.001 Hz" title="" id="10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False_riFalse/fea.mesh.mode_5.png" id="101" name="Picture"/>
                    <pic:cNvPicPr>
                      <a:picLocks noChangeArrowheads="1"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97: Abaqus — mode 5, 96.001 Hz</w:t>
      </w:r>
    </w:p>
    <w:bookmarkEnd w:id="232"/>
    <w:bookmarkStart w:id="237" w:name="fig:fea_modes_compare_1_9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98: Sesam — mode 5, 95.934 Hz" title="" id="10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False_riFalse/fea.mesh.mode_5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98: Sesam — mode 5, 95.934 Hz</w:t>
      </w:r>
    </w:p>
    <w:bookmarkEnd w:id="233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96.001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363843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8.08e-12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6.17e-09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5.02e-12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-2.84e-06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-7.85e-05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2.24e-06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95.934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363330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7.77e-26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1.06e-09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4.95e-24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-2.79e-13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3.26e-05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2.22e-12</w:t>
            </w:r>
          </w:p>
        </w:tc>
      </w:tr>
    </w:tbl>
    <w:bookmarkEnd w:id="234"/>
    <w:bookmarkStart w:id="238" w:name="mode-6-5"/>
    <w:p>
      <w:pPr>
        <w:pStyle w:val="AppendixX3"/>
        <w:spacing w:before="40"/>
        <w:ind w:left="850"/>
      </w:pPr>
      <w:r>
        <w:t xml:space="preserve">Mode 6</w:t>
      </w:r>
    </w:p>
    <w:bookmarkStart w:id="239" w:name="fig:fea_modes_compare_1_9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99: Abaqus — mode 6, 125.207 Hz" title="" id="10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False_riFalse/fea.mesh.mode_6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99: Abaqus — mode 6, 125.207 Hz</w:t>
      </w:r>
    </w:p>
    <w:bookmarkEnd w:id="235"/>
    <w:bookmarkStart w:id="240" w:name="fig:fea_modes_compare_1_10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00: Sesam — mode 6, 125.173 Hz" title="" id="10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False_riFalse/fea.mesh.mode_6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100: Sesam — mode 6, 125.173 Hz</w:t>
      </w:r>
    </w:p>
    <w:bookmarkEnd w:id="236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125.210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618895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4.62e-16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1.76e-10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-2.15e-08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-1.33e-05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125.173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618555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1.13e-26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5.47e-23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1.06e-13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7.40e-12</w:t>
            </w:r>
          </w:p>
        </w:tc>
      </w:tr>
    </w:tbl>
    <w:bookmarkEnd w:id="237"/>
    <w:bookmarkStart w:id="241" w:name="mode-7-5"/>
    <w:p>
      <w:pPr>
        <w:pStyle w:val="AppendixX3"/>
        <w:spacing w:before="40"/>
        <w:ind w:left="850"/>
      </w:pPr>
      <w:r>
        <w:t xml:space="preserve">Mode 7</w:t>
      </w:r>
    </w:p>
    <w:bookmarkStart w:id="242" w:name="fig:fea_modes_compare_1_10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01: Abaqus — mode 7, 142.773 Hz" title="" id="10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False_riFalse/fea.mesh.mode_7.png" id="105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101: Abaqus — mode 7, 142.773 Hz</w:t>
      </w:r>
    </w:p>
    <w:bookmarkEnd w:id="238"/>
    <w:bookmarkStart w:id="243" w:name="fig:fea_modes_compare_1_10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02: Sesam — mode 7, 142.768 Hz" title="" id="10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False_riFalse/fea.mesh.mode_7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102: Sesam — mode 7, 142.768 Hz</w:t>
      </w:r>
    </w:p>
    <w:bookmarkEnd w:id="239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142.770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5.60e-04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804737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9.41e-15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1.08e-09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-9.70e-08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1.880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3.28e-05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142.768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-5.60e-04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804681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3.82e-26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8.44e-24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-1.95e-13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-1.850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2.90e-12</w:t>
            </w:r>
          </w:p>
        </w:tc>
      </w:tr>
    </w:tbl>
    <w:bookmarkEnd w:id="240"/>
    <w:bookmarkStart w:id="244" w:name="mode-8-5"/>
    <w:p>
      <w:pPr>
        <w:pStyle w:val="AppendixX3"/>
        <w:spacing w:before="40"/>
        <w:ind w:left="850"/>
      </w:pPr>
      <w:r>
        <w:t xml:space="preserve">Mode 8</w:t>
      </w:r>
    </w:p>
    <w:bookmarkStart w:id="245" w:name="fig:fea_modes_compare_1_10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03: Abaqus — mode 8, 166.598 Hz" title="" id="10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False_riFalse/fea.mesh.mode_8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103: Abaqus — mode 8, 166.598 Hz</w:t>
      </w:r>
    </w:p>
    <w:bookmarkEnd w:id="241"/>
    <w:bookmarkStart w:id="246" w:name="fig:fea_modes_compare_1_10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04: Sesam — mode 8, 166.334 Hz" title="" id="10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False_riFalse/fea.mesh.mode_8.pn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104: Sesam — mode 8, 166.334 Hz</w:t>
      </w:r>
    </w:p>
    <w:bookmarkEnd w:id="242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166.600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1.09572e+06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1.06e-14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1.13e-08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-1.03e-07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1.06e-04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166.334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1.09224e+06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4.59e-26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5.51e-24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2.14e-13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-2.358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-2.35e-12</w:t>
            </w:r>
          </w:p>
        </w:tc>
      </w:tr>
    </w:tbl>
    <w:bookmarkEnd w:id="243"/>
    <w:bookmarkStart w:id="247" w:name="mode-9-5"/>
    <w:p>
      <w:pPr>
        <w:pStyle w:val="AppendixX3"/>
        <w:spacing w:before="40"/>
        <w:ind w:left="850"/>
      </w:pPr>
      <w:r>
        <w:t xml:space="preserve">Mode 9</w:t>
      </w:r>
    </w:p>
    <w:bookmarkStart w:id="248" w:name="fig:fea_modes_compare_1_10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05: Abaqus — mode 9, 192.840 Hz" title="" id="10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False_riFalse/fea.mesh.mode_9.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105: Abaqus — mode 9, 192.840 Hz</w:t>
      </w:r>
    </w:p>
    <w:bookmarkEnd w:id="244"/>
    <w:bookmarkStart w:id="249" w:name="fig:fea_modes_compare_1_10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06: Sesam — mode 9, 193.308 Hz" title="" id="11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False_riFalse/fea.mesh.mode_9.png" id="110" name="Picture"/>
                    <pic:cNvPicPr>
                      <a:picLocks noChangeArrowheads="1"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106: Sesam — mode 9, 193.308 Hz</w:t>
      </w:r>
    </w:p>
    <w:bookmarkEnd w:id="245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192.840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1.4681e+06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5.91e-14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5.79e-09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2.43e-07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-0.818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-7.61e-05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193.308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1.47524e+06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3.41e-27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9.39e-26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5.84e-14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-0.801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3.06e-13</w:t>
            </w:r>
          </w:p>
        </w:tc>
      </w:tr>
    </w:tbl>
    <w:bookmarkEnd w:id="246"/>
    <w:bookmarkStart w:id="250" w:name="mode-10-5"/>
    <w:p>
      <w:pPr>
        <w:pStyle w:val="AppendixX3"/>
        <w:spacing w:before="40"/>
        <w:ind w:left="850"/>
      </w:pPr>
      <w:r>
        <w:t xml:space="preserve">Mode 10</w:t>
      </w:r>
    </w:p>
    <w:bookmarkStart w:id="251" w:name="fig:fea_modes_compare_1_10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07: Abaqus — mode 10, 233.355 Hz" title="" id="11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False_riFalse/fea.mesh.mode_10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107: Abaqus — mode 10, 233.355 Hz</w:t>
      </w:r>
    </w:p>
    <w:bookmarkEnd w:id="247"/>
    <w:bookmarkStart w:id="252" w:name="fig:fea_modes_compare_1_10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08: Sesam — mode 10, 234.613 Hz" title="" id="11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False_riFalse/fea.mesh.mode_10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108: Sesam — mode 10, 234.613 Hz</w:t>
      </w:r>
    </w:p>
    <w:bookmarkEnd w:id="248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233.360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2.14979e+06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3.28e-15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3.26e-07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-5.73e-08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1.175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234.613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2.17302e+06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1.23e-18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2.13e-20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-1.11e-09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-1.46e-10</w:t>
            </w:r>
          </w:p>
        </w:tc>
      </w:tr>
    </w:tbl>
    <w:bookmarkEnd w:id="249"/>
    <w:bookmarkStart w:id="253" w:name="mode-11-5"/>
    <w:p>
      <w:pPr>
        <w:pStyle w:val="AppendixX3"/>
        <w:spacing w:before="40"/>
        <w:ind w:left="850"/>
      </w:pPr>
      <w:r>
        <w:t xml:space="preserve">Mode 11</w:t>
      </w:r>
    </w:p>
    <w:bookmarkStart w:id="254" w:name="fig:fea_modes_compare_1_10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09: Abaqus — mode 11, 250.125 Hz" title="" id="11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False_riFalse/fea.mesh.mode_11.png" id="113" name="Picture"/>
                    <pic:cNvPicPr>
                      <a:picLocks noChangeArrowheads="1"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109: Abaqus — mode 11, 250.125 Hz</w:t>
      </w:r>
    </w:p>
    <w:bookmarkEnd w:id="250"/>
    <w:bookmarkStart w:id="255" w:name="fig:fea_modes_compare_1_11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10: Sesam — mode 11, 250.240 Hz" title="" id="11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False_riFalse/fea.mesh.mode_11.pn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110: Sesam — mode 11, 250.240 Hz</w:t>
      </w:r>
    </w:p>
    <w:bookmarkEnd w:id="251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250.130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2.46987e+06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9.03e-11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3.18e-08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4.03e-09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9.50e-06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1.78e-04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6.35e-05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250.240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2.47215e+06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1.60e-13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1.65e-06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2.77e-15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-4.01e-07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-5.26e-08</w:t>
            </w:r>
          </w:p>
        </w:tc>
      </w:tr>
    </w:tbl>
    <w:bookmarkEnd w:id="252"/>
    <w:bookmarkEnd w:id="253"/>
    <w:bookmarkStart w:id="256" w:name="shell-2nd-order-quad"/>
    <w:p>
      <w:pPr>
        <w:pStyle w:val="AppendixX2"/>
        <w:spacing w:before="40"/>
        <w:ind w:left="850"/>
      </w:pPr>
      <w:r>
        <w:t xml:space="preserve">Shell, 2nd order, QUAD</w:t>
      </w:r>
    </w:p>
    <w:bookmarkStart w:id="257" w:name="mode-1-6"/>
    <w:p>
      <w:pPr>
        <w:pStyle w:val="AppendixX3"/>
        <w:spacing w:before="40"/>
        <w:ind w:left="850"/>
      </w:pPr>
      <w:r>
        <w:t xml:space="preserve">Mode 1</w:t>
      </w:r>
    </w:p>
    <w:bookmarkStart w:id="258" w:name="fig:fea_modes_compare_1_11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11: Abaqus — mode 1, 12.758 Hz" title="" id="11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False/fea.mesh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111: Abaqus — mode 1, 12.758 Hz</w:t>
      </w:r>
    </w:p>
    <w:bookmarkEnd w:id="254"/>
    <w:bookmarkStart w:id="259" w:name="fig:fea_modes_compare_1_11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12: Sesam — mode 1, 12.755 Hz" title="" id="11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True_riFalse/fea.mesh.png" id="116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112: Sesam — mode 1, 12.755 Hz</w:t>
      </w:r>
    </w:p>
    <w:bookmarkEnd w:id="255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6426.1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1.23e-25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9.18e-25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3.51e-13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9.58e-13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12.755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6423.15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3.36e-26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2.47e-24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-1.83e-13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-10.952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-1.57e-12</w:t>
            </w:r>
          </w:p>
        </w:tc>
      </w:tr>
    </w:tbl>
    <w:bookmarkEnd w:id="256"/>
    <w:bookmarkStart w:id="260" w:name="mode-2-6"/>
    <w:p>
      <w:pPr>
        <w:pStyle w:val="AppendixX3"/>
        <w:spacing w:before="40"/>
        <w:ind w:left="850"/>
      </w:pPr>
      <w:r>
        <w:t xml:space="preserve">Mode 2</w:t>
      </w:r>
    </w:p>
    <w:bookmarkStart w:id="261" w:name="fig:fea_modes_compare_1_11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13: Abaqus — mode 2, 19.486 Hz" title="" id="11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False/fea.mesh.mode_2.pn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113: Abaqus — mode 2, 19.486 Hz</w:t>
      </w:r>
    </w:p>
    <w:bookmarkEnd w:id="257"/>
    <w:bookmarkStart w:id="262" w:name="fig:fea_modes_compare_1_11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14: Sesam — mode 2, 19.473 Hz" title="" id="11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True_riFalse/fea.mesh.mode_2.png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114: Sesam — mode 2, 19.473 Hz</w:t>
      </w:r>
    </w:p>
    <w:bookmarkEnd w:id="258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19.486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14990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1.04e-26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4.65e-20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2.40e-23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1.02e-13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2.16e-10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4.90e-12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19.473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14970.3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4.30e-26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1.24e-18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1.37e-23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-2.07e-13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1.11e-09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3.71e-12</w:t>
            </w:r>
          </w:p>
        </w:tc>
      </w:tr>
    </w:tbl>
    <w:bookmarkEnd w:id="259"/>
    <w:bookmarkStart w:id="263" w:name="mode-3-6"/>
    <w:p>
      <w:pPr>
        <w:pStyle w:val="AppendixX3"/>
        <w:spacing w:before="40"/>
        <w:ind w:left="850"/>
      </w:pPr>
      <w:r>
        <w:t xml:space="preserve">Mode 3</w:t>
      </w:r>
    </w:p>
    <w:bookmarkStart w:id="264" w:name="fig:fea_modes_compare_1_11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15: Abaqus — mode 3, 51.998 Hz" title="" id="11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False/fea.mesh.mode_3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115: Abaqus — mode 3, 51.998 Hz</w:t>
      </w:r>
    </w:p>
    <w:bookmarkEnd w:id="260"/>
    <w:bookmarkStart w:id="265" w:name="fig:fea_modes_compare_1_11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16: Sesam — mode 3, 51.970 Hz" title="" id="12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True_riFalse/fea.mesh.mode_3.png" id="120" name="Picture"/>
                    <pic:cNvPicPr>
                      <a:picLocks noChangeArrowheads="1"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116: Sesam — mode 3, 51.970 Hz</w:t>
      </w:r>
    </w:p>
    <w:bookmarkEnd w:id="261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106740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5.15e-27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9.66e-26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121.97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7.18e-14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3.11e-13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11.044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106628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6.42e-26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7.11e-25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122.03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-2.53e-13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-8.43e-13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11.047</w:t>
            </w:r>
          </w:p>
        </w:tc>
      </w:tr>
    </w:tbl>
    <w:bookmarkEnd w:id="262"/>
    <w:bookmarkStart w:id="266" w:name="mode-4-6"/>
    <w:p>
      <w:pPr>
        <w:pStyle w:val="AppendixX3"/>
        <w:spacing w:before="40"/>
        <w:ind w:left="850"/>
      </w:pPr>
      <w:r>
        <w:t xml:space="preserve">Mode 4</w:t>
      </w:r>
    </w:p>
    <w:bookmarkStart w:id="267" w:name="fig:fea_modes_compare_1_11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17: Abaqus — mode 4, 75.149 Hz" title="" id="12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False/fea.mesh.mode_4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117: Abaqus — mode 4, 75.149 Hz</w:t>
      </w:r>
    </w:p>
    <w:bookmarkEnd w:id="263"/>
    <w:bookmarkStart w:id="268" w:name="fig:fea_modes_compare_1_11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18: Sesam — mode 4, 75.125 Hz" title="" id="12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True_riFalse/fea.mesh.mode_4.png" id="122" name="Picture"/>
                    <pic:cNvPicPr>
                      <a:picLocks noChangeArrowheads="1"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118: Sesam — mode 4, 75.125 Hz</w:t>
      </w:r>
    </w:p>
    <w:bookmarkEnd w:id="26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75.149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222949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1.40e-27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6.29e-24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-3.75e-14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2.51e-12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75.125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222804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2.91e-28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2.56e-24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-1.70e-14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1.60e-12</w:t>
            </w:r>
          </w:p>
        </w:tc>
      </w:tr>
    </w:tbl>
    <w:bookmarkEnd w:id="265"/>
    <w:bookmarkStart w:id="269" w:name="mode-5-6"/>
    <w:p>
      <w:pPr>
        <w:pStyle w:val="AppendixX3"/>
        <w:spacing w:before="40"/>
        <w:ind w:left="850"/>
      </w:pPr>
      <w:r>
        <w:t xml:space="preserve">Mode 5</w:t>
      </w:r>
    </w:p>
    <w:bookmarkStart w:id="270" w:name="fig:fea_modes_compare_1_11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19: Abaqus — mode 5, 95.920 Hz" title="" id="12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False/fea.mesh.mode_5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119: Abaqus — mode 5, 95.920 Hz</w:t>
      </w:r>
    </w:p>
    <w:bookmarkEnd w:id="266"/>
    <w:bookmarkStart w:id="271" w:name="fig:fea_modes_compare_1_12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20: Sesam — mode 5, 95.889 Hz" title="" id="12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True_riFalse/fea.mesh.mode_5.png" id="124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120: Sesam — mode 5, 95.889 Hz</w:t>
      </w:r>
    </w:p>
    <w:bookmarkEnd w:id="26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95.920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363224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7.50e-27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2.54e-21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8.04e-25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-8.66e-14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-5.04e-11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-8.97e-13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95.889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362989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1.39e-26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1.97e-21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1.90e-24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1.18e-13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4.44e-11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-1.38e-12</w:t>
            </w:r>
          </w:p>
        </w:tc>
      </w:tr>
    </w:tbl>
    <w:bookmarkEnd w:id="268"/>
    <w:bookmarkStart w:id="272" w:name="mode-6-6"/>
    <w:p>
      <w:pPr>
        <w:pStyle w:val="AppendixX3"/>
        <w:spacing w:before="40"/>
        <w:ind w:left="850"/>
      </w:pPr>
      <w:r>
        <w:t xml:space="preserve">Mode 6</w:t>
      </w:r>
    </w:p>
    <w:bookmarkStart w:id="273" w:name="fig:fea_modes_compare_1_12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21: Abaqus — mode 6, 125.001 Hz" title="" id="12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False/fea.mesh.mode_6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121: Abaqus — mode 6, 125.001 Hz</w:t>
      </w:r>
    </w:p>
    <w:bookmarkEnd w:id="269"/>
    <w:bookmarkStart w:id="274" w:name="fig:fea_modes_compare_1_12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22: Sesam — mode 6, 124.987 Hz" title="" id="12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True_riFalse/fea.mesh.mode_6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122: Sesam — mode 6, 124.987 Hz</w:t>
      </w:r>
    </w:p>
    <w:bookmarkEnd w:id="27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125.000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616856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5.44e-26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4.78e-23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-2.33e-13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6.92e-12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124.987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616722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1.29e-26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6.86e-24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-1.13e-13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2.62e-12</w:t>
            </w:r>
          </w:p>
        </w:tc>
      </w:tr>
    </w:tbl>
    <w:bookmarkEnd w:id="271"/>
    <w:bookmarkStart w:id="275" w:name="mode-7-6"/>
    <w:p>
      <w:pPr>
        <w:pStyle w:val="AppendixX3"/>
        <w:spacing w:before="40"/>
        <w:ind w:left="850"/>
      </w:pPr>
      <w:r>
        <w:t xml:space="preserve">Mode 7</w:t>
      </w:r>
    </w:p>
    <w:bookmarkStart w:id="276" w:name="fig:fea_modes_compare_1_12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23: Abaqus — mode 7, 142.325 Hz" title="" id="12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False/fea.mesh.mode_7.png" id="127" name="Picture"/>
                    <pic:cNvPicPr>
                      <a:picLocks noChangeArrowheads="1"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123: Abaqus — mode 7, 142.325 Hz</w:t>
      </w:r>
    </w:p>
    <w:bookmarkEnd w:id="272"/>
    <w:bookmarkStart w:id="277" w:name="fig:fea_modes_compare_1_12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24: Sesam — mode 7, 142.234 Hz" title="" id="12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True_riFalse/fea.mesh.mode_7.png" id="128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124: Sesam — mode 7, 142.234 Hz</w:t>
      </w:r>
    </w:p>
    <w:bookmarkEnd w:id="273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142.320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799690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2.49e-27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4.42e-24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-4.99e-14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-2.10e-12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142.234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798665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6.03e-28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4.89e-25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2.46e-14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1.859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-6.99e-13</w:t>
            </w:r>
          </w:p>
        </w:tc>
      </w:tr>
    </w:tbl>
    <w:bookmarkEnd w:id="274"/>
    <w:bookmarkStart w:id="278" w:name="mode-8-6"/>
    <w:p>
      <w:pPr>
        <w:pStyle w:val="AppendixX3"/>
        <w:spacing w:before="40"/>
        <w:ind w:left="850"/>
      </w:pPr>
      <w:r>
        <w:t xml:space="preserve">Mode 8</w:t>
      </w:r>
    </w:p>
    <w:bookmarkStart w:id="279" w:name="fig:fea_modes_compare_1_12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25: Abaqus — mode 8, 165.849 Hz" title="" id="12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False/fea.mesh.mode_8.png" id="129" name="Picture"/>
                    <pic:cNvPicPr>
                      <a:picLocks noChangeArrowheads="1"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125: Abaqus — mode 8, 165.849 Hz</w:t>
      </w:r>
    </w:p>
    <w:bookmarkEnd w:id="275"/>
    <w:bookmarkStart w:id="280" w:name="fig:fea_modes_compare_1_12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26: Sesam — mode 8, 165.718 Hz" title="" id="13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True_riFalse/fea.mesh.mode_8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126: Sesam — mode 8, 165.718 Hz</w:t>
      </w:r>
    </w:p>
    <w:bookmarkEnd w:id="276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165.850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1.08589e+06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2.43e-27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1.06e-23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-4.93e-14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3.25e-12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165.718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1.08418e+06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4.51e-28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2.31e-24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-2.12e-14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-2.350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-1.52e-12</w:t>
            </w:r>
          </w:p>
        </w:tc>
      </w:tr>
    </w:tbl>
    <w:bookmarkEnd w:id="277"/>
    <w:bookmarkStart w:id="281" w:name="mode-9-6"/>
    <w:p>
      <w:pPr>
        <w:pStyle w:val="AppendixX3"/>
        <w:spacing w:before="40"/>
        <w:ind w:left="850"/>
      </w:pPr>
      <w:r>
        <w:t xml:space="preserve">Mode 9</w:t>
      </w:r>
    </w:p>
    <w:bookmarkStart w:id="282" w:name="fig:fea_modes_compare_1_12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27: Abaqus — mode 9, 192.184 Hz" title="" id="13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False/fea.mesh.mode_9.png" id="131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127: Abaqus — mode 9, 192.184 Hz</w:t>
      </w:r>
    </w:p>
    <w:bookmarkEnd w:id="278"/>
    <w:bookmarkStart w:id="283" w:name="fig:fea_modes_compare_1_12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28: Sesam — mode 9, 191.999 Hz" title="" id="13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True_riFalse/fea.mesh.mode_9.png" id="132" name="Picture"/>
                    <pic:cNvPicPr>
                      <a:picLocks noChangeArrowheads="1"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128: Sesam — mode 9, 191.999 Hz</w:t>
      </w:r>
    </w:p>
    <w:bookmarkEnd w:id="279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192.180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1.45812e+06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1.15e-27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1.20e-25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-3.40e-14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-0.808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3.47e-13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191.999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1.45531e+06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3.95e-28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4.22e-27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1.99e-14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-0.809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6.50e-14</w:t>
            </w:r>
          </w:p>
        </w:tc>
      </w:tr>
    </w:tbl>
    <w:bookmarkEnd w:id="280"/>
    <w:bookmarkStart w:id="284" w:name="mode-10-6"/>
    <w:p>
      <w:pPr>
        <w:pStyle w:val="AppendixX3"/>
        <w:spacing w:before="40"/>
        <w:ind w:left="850"/>
      </w:pPr>
      <w:r>
        <w:t xml:space="preserve">Mode 10</w:t>
      </w:r>
    </w:p>
    <w:bookmarkStart w:id="285" w:name="fig:fea_modes_compare_1_12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29: Abaqus — mode 10, 232.867 Hz" title="" id="13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False/fea.mesh.mode_1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129: Abaqus — mode 10, 232.867 Hz</w:t>
      </w:r>
    </w:p>
    <w:bookmarkEnd w:id="281"/>
    <w:bookmarkStart w:id="286" w:name="fig:fea_modes_compare_1_13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30: Sesam — mode 10, 232.626 Hz" title="" id="13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True_riFalse/fea.mesh.mode_10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130: Sesam — mode 10, 232.626 Hz</w:t>
      </w:r>
    </w:p>
    <w:bookmarkEnd w:id="282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232.870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2.14079e+06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4.88e-26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1.33e-23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-2.21e-13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-3.65e-12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232.626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2.13637e+06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1.30e-26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2.70e-25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-1.14e-13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-5.20e-13</w:t>
            </w:r>
          </w:p>
        </w:tc>
      </w:tr>
    </w:tbl>
    <w:bookmarkEnd w:id="283"/>
    <w:bookmarkStart w:id="287" w:name="mode-11-6"/>
    <w:p>
      <w:pPr>
        <w:pStyle w:val="AppendixX3"/>
        <w:spacing w:before="40"/>
        <w:ind w:left="850"/>
      </w:pPr>
      <w:r>
        <w:t xml:space="preserve">Mode 11</w:t>
      </w:r>
    </w:p>
    <w:bookmarkStart w:id="288" w:name="fig:fea_modes_compare_1_13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31: Abaqus — mode 11, 250.173 Hz" title="" id="13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False/fea.mesh.mode_11.png" id="135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131: Abaqus — mode 11, 250.173 Hz</w:t>
      </w:r>
    </w:p>
    <w:bookmarkEnd w:id="284"/>
    <w:bookmarkStart w:id="289" w:name="fig:fea_modes_compare_1_13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32: Sesam — mode 11, 250.095 Hz" title="" id="13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hell_o2_hqTrue_riFalse/fea.mesh.mode_11.png" id="136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132: Sesam — mode 11, 250.095 Hz</w:t>
      </w:r>
    </w:p>
    <w:bookmarkEnd w:id="285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250.170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2.47082e+06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3.28e-21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3.98e-19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6.25e-19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5.72e-11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6.31e-10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-7.90e-10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250.095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2.46928e+06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1.10e-19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3.85e-22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2.18e-21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-3.32e-10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-1.96e-11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4.67e-11</w:t>
            </w:r>
          </w:p>
        </w:tc>
      </w:tr>
    </w:tbl>
    <w:bookmarkEnd w:id="286"/>
    <w:bookmarkEnd w:id="287"/>
    <w:bookmarkStart w:id="290" w:name="shell-2nd-order-quad-reduced-integration"/>
    <w:p>
      <w:pPr>
        <w:pStyle w:val="AppendixX2"/>
        <w:spacing w:before="40"/>
        <w:ind w:left="850"/>
      </w:pPr>
      <w:r>
        <w:t xml:space="preserve">Shell, 2nd order, QUAD, reduced integration</w:t>
      </w:r>
    </w:p>
    <w:bookmarkStart w:id="291" w:name="mode-1-7"/>
    <w:p>
      <w:pPr>
        <w:pStyle w:val="AppendixX3"/>
        <w:spacing w:before="40"/>
        <w:ind w:left="850"/>
      </w:pPr>
      <w:r>
        <w:t xml:space="preserve">Mode 1</w:t>
      </w:r>
    </w:p>
    <w:bookmarkStart w:id="292" w:name="fig:fea_modes_compare_1_13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33: Abaqus — mode 1, 12.758 Hz" title="" id="13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True/fea.mesh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133: Abaqus — mode 1, 12.758 Hz</w:t>
      </w:r>
    </w:p>
    <w:bookmarkEnd w:id="288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12.758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6426.1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1.23e-25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119.92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9.18e-25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3.51e-13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9.58e-13</w:t>
            </w:r>
          </w:p>
        </w:tc>
      </w:tr>
    </w:tbl>
    <w:bookmarkEnd w:id="289"/>
    <w:bookmarkStart w:id="293" w:name="mode-2-7"/>
    <w:p>
      <w:pPr>
        <w:pStyle w:val="AppendixX3"/>
        <w:spacing w:before="40"/>
        <w:ind w:left="850"/>
      </w:pPr>
      <w:r>
        <w:t xml:space="preserve">Mode 2</w:t>
      </w:r>
    </w:p>
    <w:bookmarkStart w:id="294" w:name="fig:fea_modes_compare_1_13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34: Abaqus — mode 2, 19.486 Hz" title="" id="13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True/fea.mesh.mode_2.png" id="138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134: Abaqus — mode 2, 19.486 Hz</w:t>
      </w:r>
    </w:p>
    <w:bookmarkEnd w:id="29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19.486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14990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1.04e-26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4.65e-20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2.40e-23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1.02e-13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2.16e-10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4.90e-12</w:t>
            </w:r>
          </w:p>
        </w:tc>
      </w:tr>
    </w:tbl>
    <w:bookmarkEnd w:id="291"/>
    <w:bookmarkStart w:id="295" w:name="mode-3-7"/>
    <w:p>
      <w:pPr>
        <w:pStyle w:val="AppendixX3"/>
        <w:spacing w:before="40"/>
        <w:ind w:left="850"/>
      </w:pPr>
      <w:r>
        <w:t xml:space="preserve">Mode 3</w:t>
      </w:r>
    </w:p>
    <w:bookmarkStart w:id="296" w:name="fig:fea_modes_compare_1_13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35: Abaqus — mode 3, 51.998 Hz" title="" id="13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True/fea.mesh.mode_3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135: Abaqus — mode 3, 51.998 Hz</w:t>
      </w:r>
    </w:p>
    <w:bookmarkEnd w:id="292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51.998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106740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5.15e-27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9.66e-26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121.97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7.18e-14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3.11e-13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11.044</w:t>
            </w:r>
          </w:p>
        </w:tc>
      </w:tr>
    </w:tbl>
    <w:bookmarkEnd w:id="293"/>
    <w:bookmarkStart w:id="297" w:name="mode-4-7"/>
    <w:p>
      <w:pPr>
        <w:pStyle w:val="AppendixX3"/>
        <w:spacing w:before="40"/>
        <w:ind w:left="850"/>
      </w:pPr>
      <w:r>
        <w:t xml:space="preserve">Mode 4</w:t>
      </w:r>
    </w:p>
    <w:bookmarkStart w:id="298" w:name="fig:fea_modes_compare_1_13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36: Abaqus — mode 4, 75.149 Hz" title="" id="14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True/fea.mesh.mode_4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136: Abaqus — mode 4, 75.149 Hz</w:t>
      </w:r>
    </w:p>
    <w:bookmarkEnd w:id="29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75.149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222949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1.40e-27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6.29e-24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-3.75e-14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2.51e-12</w:t>
            </w:r>
          </w:p>
        </w:tc>
      </w:tr>
    </w:tbl>
    <w:bookmarkEnd w:id="295"/>
    <w:bookmarkStart w:id="299" w:name="mode-5-7"/>
    <w:p>
      <w:pPr>
        <w:pStyle w:val="AppendixX3"/>
        <w:spacing w:before="40"/>
        <w:ind w:left="850"/>
      </w:pPr>
      <w:r>
        <w:t xml:space="preserve">Mode 5</w:t>
      </w:r>
    </w:p>
    <w:bookmarkStart w:id="300" w:name="fig:fea_modes_compare_1_13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37: Abaqus — mode 5, 95.920 Hz" title="" id="14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True/fea.mesh.mode_5.png" id="141" name="Picture"/>
                    <pic:cNvPicPr>
                      <a:picLocks noChangeArrowheads="1"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137: Abaqus — mode 5, 95.920 Hz</w:t>
      </w:r>
    </w:p>
    <w:bookmarkEnd w:id="296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95.920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363224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7.50e-27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2.54e-21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8.04e-25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-8.66e-14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-5.04e-11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-8.97e-13</w:t>
            </w:r>
          </w:p>
        </w:tc>
      </w:tr>
    </w:tbl>
    <w:bookmarkEnd w:id="297"/>
    <w:bookmarkStart w:id="301" w:name="mode-6-7"/>
    <w:p>
      <w:pPr>
        <w:pStyle w:val="AppendixX3"/>
        <w:spacing w:before="40"/>
        <w:ind w:left="850"/>
      </w:pPr>
      <w:r>
        <w:t xml:space="preserve">Mode 6</w:t>
      </w:r>
    </w:p>
    <w:bookmarkStart w:id="302" w:name="fig:fea_modes_compare_1_13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38: Abaqus — mode 6, 125.001 Hz" title="" id="14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True/fea.mesh.mode_6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138: Abaqus — mode 6, 125.001 Hz</w:t>
      </w:r>
    </w:p>
    <w:bookmarkEnd w:id="298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125.000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616856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5.44e-26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4.78e-23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-2.33e-13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6.92e-12</w:t>
            </w:r>
          </w:p>
        </w:tc>
      </w:tr>
    </w:tbl>
    <w:bookmarkEnd w:id="299"/>
    <w:bookmarkStart w:id="303" w:name="mode-7-7"/>
    <w:p>
      <w:pPr>
        <w:pStyle w:val="AppendixX3"/>
        <w:spacing w:before="40"/>
        <w:ind w:left="850"/>
      </w:pPr>
      <w:r>
        <w:t xml:space="preserve">Mode 7</w:t>
      </w:r>
    </w:p>
    <w:bookmarkStart w:id="304" w:name="fig:fea_modes_compare_1_13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39: Abaqus — mode 7, 142.325 Hz" title="" id="14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True/fea.mesh.mode_7.png" id="143" name="Picture"/>
                    <pic:cNvPicPr>
                      <a:picLocks noChangeArrowheads="1"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139: Abaqus — mode 7, 142.325 Hz</w:t>
      </w:r>
    </w:p>
    <w:bookmarkEnd w:id="30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142.320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799690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2.49e-27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4.42e-24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-4.99e-14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-2.10e-12</w:t>
            </w:r>
          </w:p>
        </w:tc>
      </w:tr>
    </w:tbl>
    <w:bookmarkEnd w:id="301"/>
    <w:bookmarkStart w:id="305" w:name="mode-8-7"/>
    <w:p>
      <w:pPr>
        <w:pStyle w:val="AppendixX3"/>
        <w:spacing w:before="40"/>
        <w:ind w:left="850"/>
      </w:pPr>
      <w:r>
        <w:t xml:space="preserve">Mode 8</w:t>
      </w:r>
    </w:p>
    <w:bookmarkStart w:id="306" w:name="fig:fea_modes_compare_1_14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40: Abaqus — mode 8, 165.849 Hz" title="" id="14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True/fea.mesh.mode_8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140: Abaqus — mode 8, 165.849 Hz</w:t>
      </w:r>
    </w:p>
    <w:bookmarkEnd w:id="302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165.850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1.08589e+06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2.43e-27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1.06e-23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-4.93e-14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3.25e-12</w:t>
            </w:r>
          </w:p>
        </w:tc>
      </w:tr>
    </w:tbl>
    <w:bookmarkEnd w:id="303"/>
    <w:bookmarkStart w:id="307" w:name="mode-9-7"/>
    <w:p>
      <w:pPr>
        <w:pStyle w:val="AppendixX3"/>
        <w:spacing w:before="40"/>
        <w:ind w:left="850"/>
      </w:pPr>
      <w:r>
        <w:t xml:space="preserve">Mode 9</w:t>
      </w:r>
    </w:p>
    <w:bookmarkStart w:id="308" w:name="fig:fea_modes_compare_1_14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41: Abaqus — mode 9, 192.184 Hz" title="" id="14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True/fea.mesh.mode_9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141: Abaqus — mode 9, 192.184 Hz</w:t>
      </w:r>
    </w:p>
    <w:bookmarkEnd w:id="30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192.180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1.45812e+06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1.15e-27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1.20e-25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-3.40e-14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-0.808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3.47e-13</w:t>
            </w:r>
          </w:p>
        </w:tc>
      </w:tr>
    </w:tbl>
    <w:bookmarkEnd w:id="305"/>
    <w:bookmarkStart w:id="309" w:name="mode-10-7"/>
    <w:p>
      <w:pPr>
        <w:pStyle w:val="AppendixX3"/>
        <w:spacing w:before="40"/>
        <w:ind w:left="850"/>
      </w:pPr>
      <w:r>
        <w:t xml:space="preserve">Mode 10</w:t>
      </w:r>
    </w:p>
    <w:bookmarkStart w:id="310" w:name="fig:fea_modes_compare_1_14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42: Abaqus — mode 10, 232.867 Hz" title="" id="14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True/fea.mesh.mode_10.png" id="146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142: Abaqus — mode 10, 232.867 Hz</w:t>
      </w:r>
    </w:p>
    <w:bookmarkEnd w:id="306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232.870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2.14079e+06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4.88e-26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1.33e-23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-2.21e-13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-3.65e-12</w:t>
            </w:r>
          </w:p>
        </w:tc>
      </w:tr>
    </w:tbl>
    <w:bookmarkEnd w:id="307"/>
    <w:bookmarkStart w:id="311" w:name="mode-11-7"/>
    <w:p>
      <w:pPr>
        <w:pStyle w:val="AppendixX3"/>
        <w:spacing w:before="40"/>
        <w:ind w:left="850"/>
      </w:pPr>
      <w:r>
        <w:t xml:space="preserve">Mode 11</w:t>
      </w:r>
    </w:p>
    <w:bookmarkStart w:id="312" w:name="fig:fea_modes_compare_1_14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43: Abaqus — mode 11, 250.173 Hz" title="" id="14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hell_o2_hqTrue_riTrue/fea.mesh.mode_11.png" id="147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143: Abaqus — mode 11, 250.173 Hz</w:t>
      </w:r>
    </w:p>
    <w:bookmarkEnd w:id="308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250.170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2.47082e+06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3.28e-21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3.98e-19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6.25e-19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5.72e-11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6.31e-10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-7.90e-10</w:t>
            </w:r>
          </w:p>
        </w:tc>
      </w:tr>
    </w:tbl>
    <w:bookmarkEnd w:id="309"/>
    <w:bookmarkEnd w:id="310"/>
    <w:bookmarkStart w:id="313" w:name="solid-1st-order-tet"/>
    <w:p>
      <w:pPr>
        <w:pStyle w:val="AppendixX2"/>
        <w:spacing w:before="40"/>
        <w:ind w:left="850"/>
      </w:pPr>
      <w:r>
        <w:t xml:space="preserve">Solid, 1st order, TET</w:t>
      </w:r>
    </w:p>
    <w:bookmarkStart w:id="314" w:name="mode-1-8"/>
    <w:p>
      <w:pPr>
        <w:pStyle w:val="AppendixX3"/>
        <w:spacing w:before="40"/>
        <w:ind w:left="850"/>
      </w:pPr>
      <w:r>
        <w:t xml:space="preserve">Mode 1</w:t>
      </w:r>
    </w:p>
    <w:bookmarkStart w:id="315" w:name="fig:fea_modes_compare_1_14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44: Abaqus — mode 1, 15.790 Hz" title="" id="14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False_riFalse/fea.mesh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144: Abaqus — mode 1, 15.790 Hz</w:t>
      </w:r>
    </w:p>
    <w:bookmarkEnd w:id="311"/>
    <w:bookmarkStart w:id="316" w:name="fig:fea_modes_compare_1_14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45: Sesam — mode 1, 15.793 Hz" title="" id="14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False_riFalse/fea.mesh.png" id="149" name="Picture"/>
                    <pic:cNvPicPr>
                      <a:picLocks noChangeArrowheads="1"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145: Sesam — mode 1, 15.793 Hz</w:t>
      </w:r>
    </w:p>
    <w:bookmarkEnd w:id="312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15.790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9842.9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2.50e-14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117.47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2.82e-04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1.58e-07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15.793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9846.92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5.82e-13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117.52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2.82e-04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7.63e-07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-10.841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0.017</w:t>
            </w:r>
          </w:p>
        </w:tc>
      </w:tr>
    </w:tbl>
    <w:bookmarkEnd w:id="313"/>
    <w:bookmarkStart w:id="317" w:name="mode-2-8"/>
    <w:p>
      <w:pPr>
        <w:pStyle w:val="AppendixX3"/>
        <w:spacing w:before="40"/>
        <w:ind w:left="850"/>
      </w:pPr>
      <w:r>
        <w:t xml:space="preserve">Mode 2</w:t>
      </w:r>
    </w:p>
    <w:bookmarkStart w:id="318" w:name="fig:fea_modes_compare_1_14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46: Abaqus — mode 2, 51.532 Hz" title="" id="15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False_riFalse/fea.mesh.mode_2.png" id="150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146: Abaqus — mode 2, 51.532 Hz</w:t>
      </w:r>
    </w:p>
    <w:bookmarkEnd w:id="314"/>
    <w:bookmarkStart w:id="319" w:name="fig:fea_modes_compare_1_14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47: Sesam — mode 2, 51.542 Hz" title="" id="15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False_riFalse/fea.mesh.mode_2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147: Sesam — mode 2, 51.542 Hz</w:t>
      </w:r>
    </w:p>
    <w:bookmarkEnd w:id="315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51.532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104836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1.44e-08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7.90e-04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1.20e-04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51.542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104877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1.53e-08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7.86e-04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-1.24e-04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-10.876</w:t>
            </w:r>
          </w:p>
        </w:tc>
      </w:tr>
    </w:tbl>
    <w:bookmarkEnd w:id="316"/>
    <w:bookmarkStart w:id="320" w:name="mode-3-8"/>
    <w:p>
      <w:pPr>
        <w:pStyle w:val="AppendixX3"/>
        <w:spacing w:before="40"/>
        <w:ind w:left="850"/>
      </w:pPr>
      <w:r>
        <w:t xml:space="preserve">Mode 3</w:t>
      </w:r>
    </w:p>
    <w:bookmarkStart w:id="321" w:name="fig:fea_modes_compare_1_14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48: Abaqus — mode 3, 97.588 Hz" title="" id="15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False_riFalse/fea.mesh.mode_3.png" id="152" name="Picture"/>
                    <pic:cNvPicPr>
                      <a:picLocks noChangeArrowheads="1"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148: Abaqus — mode 3, 97.588 Hz</w:t>
      </w:r>
    </w:p>
    <w:bookmarkEnd w:id="317"/>
    <w:bookmarkStart w:id="322" w:name="fig:fea_modes_compare_1_14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49: Sesam — mode 3, 97.731 Hz" title="" id="15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False_riFalse/fea.mesh.mode_3.png" id="153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149: Sesam — mode 3, 97.731 Hz</w:t>
      </w:r>
    </w:p>
    <w:bookmarkEnd w:id="318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97.588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375967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4.61e-08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34.91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3.71e-04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-2.15e-04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97.731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377075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4.30e-08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34.94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3.65e-04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2.07e-04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5.911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-0.019</w:t>
            </w:r>
          </w:p>
        </w:tc>
      </w:tr>
    </w:tbl>
    <w:bookmarkEnd w:id="319"/>
    <w:bookmarkStart w:id="323" w:name="mode-4-8"/>
    <w:p>
      <w:pPr>
        <w:pStyle w:val="AppendixX3"/>
        <w:spacing w:before="40"/>
        <w:ind w:left="850"/>
      </w:pPr>
      <w:r>
        <w:t xml:space="preserve">Mode 4</w:t>
      </w:r>
    </w:p>
    <w:bookmarkStart w:id="324" w:name="fig:fea_modes_compare_1_15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50: Abaqus — mode 4, 104.803 Hz" title="" id="15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False_riFalse/fea.mesh.mode_4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150: Abaqus — mode 4, 104.803 Hz</w:t>
      </w:r>
    </w:p>
    <w:bookmarkEnd w:id="320"/>
    <w:bookmarkStart w:id="325" w:name="fig:fea_modes_compare_1_15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51: Sesam — mode 4, 105.691 Hz" title="" id="15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False_riFalse/fea.mesh.mode_4.png" id="155" name="Picture"/>
                    <pic:cNvPicPr>
                      <a:picLocks noChangeArrowheads="1"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151: Sesam — mode 4, 105.691 Hz</w:t>
      </w:r>
    </w:p>
    <w:bookmarkEnd w:id="321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104.800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433617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6.83e-06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1.07e-05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-0.075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105.691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440993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6.99e-06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4.82e-03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1.08e-05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0.069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-0.003</w:t>
            </w:r>
          </w:p>
        </w:tc>
      </w:tr>
    </w:tbl>
    <w:bookmarkEnd w:id="322"/>
    <w:bookmarkStart w:id="326" w:name="mode-5-8"/>
    <w:p>
      <w:pPr>
        <w:pStyle w:val="AppendixX3"/>
        <w:spacing w:before="40"/>
        <w:ind w:left="850"/>
      </w:pPr>
      <w:r>
        <w:t xml:space="preserve">Mode 5</w:t>
      </w:r>
    </w:p>
    <w:bookmarkStart w:id="327" w:name="fig:fea_modes_compare_1_15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52: Abaqus — mode 5, 260.590 Hz" title="" id="15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False_riFalse/fea.mesh.mode_5.png" id="156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152: Abaqus — mode 5, 260.590 Hz</w:t>
      </w:r>
    </w:p>
    <w:bookmarkEnd w:id="323"/>
    <w:bookmarkStart w:id="328" w:name="fig:fea_modes_compare_1_15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53: Sesam — mode 5, 260.887 Hz" title="" id="15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False_riFalse/fea.mesh.mode_5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153: Sesam — mode 5, 260.887 Hz</w:t>
      </w:r>
    </w:p>
    <w:bookmarkEnd w:id="32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260.590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2.68086e+06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3.30e-07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39.75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-6.305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260.887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2.68699e+06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3.61e-07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39.76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-6.305</w:t>
            </w:r>
          </w:p>
        </w:tc>
      </w:tr>
    </w:tbl>
    <w:bookmarkEnd w:id="325"/>
    <w:bookmarkStart w:id="329" w:name="mode-6-8"/>
    <w:p>
      <w:pPr>
        <w:pStyle w:val="AppendixX3"/>
        <w:spacing w:before="40"/>
        <w:ind w:left="850"/>
      </w:pPr>
      <w:r>
        <w:t xml:space="preserve">Mode 6</w:t>
      </w:r>
    </w:p>
    <w:bookmarkStart w:id="330" w:name="fig:fea_modes_compare_1_15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54: Abaqus — mode 6, 266.263 Hz" title="" id="15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False_riFalse/fea.mesh.mode_6.png" id="158" name="Picture"/>
                    <pic:cNvPicPr>
                      <a:picLocks noChangeArrowheads="1"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154: Abaqus — mode 6, 266.263 Hz</w:t>
      </w:r>
    </w:p>
    <w:bookmarkEnd w:id="326"/>
    <w:bookmarkStart w:id="331" w:name="fig:fea_modes_compare_1_15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55: Sesam — mode 6, 267.131 Hz" title="" id="15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False_riFalse/fea.mesh.mode_6.png" id="159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155: Sesam — mode 6, 267.131 Hz</w:t>
      </w:r>
    </w:p>
    <w:bookmarkEnd w:id="32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266.260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2.79886e+06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1.72e-08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1.31e-04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3.638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0.226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267.131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2.81714e+06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1.49e-08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1.22e-04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3.642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0.207</w:t>
            </w:r>
          </w:p>
        </w:tc>
      </w:tr>
    </w:tbl>
    <w:bookmarkEnd w:id="328"/>
    <w:bookmarkStart w:id="332" w:name="mode-7-8"/>
    <w:p>
      <w:pPr>
        <w:pStyle w:val="AppendixX3"/>
        <w:spacing w:before="40"/>
        <w:ind w:left="850"/>
      </w:pPr>
      <w:r>
        <w:t xml:space="preserve">Mode 7</w:t>
      </w:r>
    </w:p>
    <w:bookmarkStart w:id="333" w:name="fig:fea_modes_compare_1_15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56: Abaqus — mode 7, 285.051 Hz" title="" id="16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False_riFalse/fea.mesh.mode_7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156: Abaqus — mode 7, 285.051 Hz</w:t>
      </w:r>
    </w:p>
    <w:bookmarkEnd w:id="329"/>
    <w:bookmarkStart w:id="334" w:name="fig:fea_modes_compare_1_15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57: Sesam — mode 7, 287.461 Hz" title="" id="16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False_riFalse/fea.mesh.mode_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157: Sesam — mode 7, 287.461 Hz</w:t>
      </w:r>
    </w:p>
    <w:bookmarkEnd w:id="33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285.050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3.20779e+06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1.44e-07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9.28e-04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1.25e-03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3.79e-04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-0.035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287.461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3.26225e+06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1.26e-07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7.47e-04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1.07e-03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3.54e-04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-0.033</w:t>
            </w:r>
          </w:p>
        </w:tc>
      </w:tr>
    </w:tbl>
    <w:bookmarkEnd w:id="331"/>
    <w:bookmarkStart w:id="335" w:name="mode-8-8"/>
    <w:p>
      <w:pPr>
        <w:pStyle w:val="AppendixX3"/>
        <w:spacing w:before="40"/>
        <w:ind w:left="850"/>
      </w:pPr>
      <w:r>
        <w:t xml:space="preserve">Mode 8</w:t>
      </w:r>
    </w:p>
    <w:bookmarkStart w:id="336" w:name="fig:fea_modes_compare_1_15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58: Abaqus — mode 8, 432.310 Hz" title="" id="16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False_riFalse/fea.mesh.mode_8.png" id="162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158: Abaqus — mode 8, 432.310 Hz</w:t>
      </w:r>
    </w:p>
    <w:bookmarkEnd w:id="332"/>
    <w:bookmarkStart w:id="337" w:name="fig:fea_modes_compare_1_15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59: Sesam — mode 8, 432.347 Hz" title="" id="16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False_riFalse/fea.mesh.mode_8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159: Sesam — mode 8, 432.347 Hz</w:t>
      </w:r>
    </w:p>
    <w:bookmarkEnd w:id="333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432.310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-4.31e-03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7.37819e+06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2.06e-06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3.31e-08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12.385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1.82e-04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432.347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4.31e-03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7.37947e+06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1.91e-06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2.88e-08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12.384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1.70e-04</w:t>
            </w:r>
          </w:p>
        </w:tc>
      </w:tr>
    </w:tbl>
    <w:bookmarkEnd w:id="334"/>
    <w:bookmarkStart w:id="338" w:name="mode-9-8"/>
    <w:p>
      <w:pPr>
        <w:pStyle w:val="AppendixX3"/>
        <w:spacing w:before="40"/>
        <w:ind w:left="850"/>
      </w:pPr>
      <w:r>
        <w:t xml:space="preserve">Mode 9</w:t>
      </w:r>
    </w:p>
    <w:bookmarkStart w:id="339" w:name="fig:fea_modes_compare_1_16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60: Abaqus — mode 9, 500.864 Hz" title="" id="16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False_riFalse/fea.mesh.mode_9.png" id="164" name="Picture"/>
                    <pic:cNvPicPr>
                      <a:picLocks noChangeArrowheads="1"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160: Abaqus — mode 9, 500.864 Hz</w:t>
      </w:r>
    </w:p>
    <w:bookmarkEnd w:id="335"/>
    <w:bookmarkStart w:id="340" w:name="fig:fea_modes_compare_1_16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61: Sesam — mode 9, 503.862 Hz" title="" id="16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False_riFalse/fea.mesh.mode_9.png" id="165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161: Sesam — mode 9, 503.862 Hz</w:t>
      </w:r>
    </w:p>
    <w:bookmarkEnd w:id="336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500.860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9.90373e+06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3.39e-05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4.73e-05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-2.515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503.862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1.00226e+07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3.01e-05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4.92e-05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-2.518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0.007</w:t>
            </w:r>
          </w:p>
        </w:tc>
      </w:tr>
    </w:tbl>
    <w:bookmarkEnd w:id="337"/>
    <w:bookmarkStart w:id="341" w:name="mode-10-8"/>
    <w:p>
      <w:pPr>
        <w:pStyle w:val="AppendixX3"/>
        <w:spacing w:before="40"/>
        <w:ind w:left="850"/>
      </w:pPr>
      <w:r>
        <w:t xml:space="preserve">Mode 10</w:t>
      </w:r>
    </w:p>
    <w:bookmarkStart w:id="342" w:name="fig:fea_modes_compare_1_16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62: Abaqus — mode 10, 534.263 Hz" title="" id="16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False_riFalse/fea.mesh.mode_10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162: Abaqus — mode 10, 534.263 Hz</w:t>
      </w:r>
    </w:p>
    <w:bookmarkEnd w:id="338"/>
    <w:bookmarkStart w:id="343" w:name="fig:fea_modes_compare_1_16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63: Sesam — mode 10, 539.506 Hz" title="" id="16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False_riFalse/fea.mesh.mode_10.png" id="167" name="Picture"/>
                    <pic:cNvPicPr>
                      <a:picLocks noChangeArrowheads="1"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163: Sesam — mode 10, 539.506 Hz</w:t>
      </w:r>
    </w:p>
    <w:bookmarkEnd w:id="339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534.260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1.12686e+07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2.60e-04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2.77e-04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6.63e-06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539.506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1.14909e+07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2.36e-04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2.31e-04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6.55e-06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0.003</w:t>
            </w:r>
          </w:p>
        </w:tc>
      </w:tr>
    </w:tbl>
    <w:bookmarkEnd w:id="340"/>
    <w:bookmarkStart w:id="344" w:name="mode-11-8"/>
    <w:p>
      <w:pPr>
        <w:pStyle w:val="AppendixX3"/>
        <w:spacing w:before="40"/>
        <w:ind w:left="850"/>
      </w:pPr>
      <w:r>
        <w:t xml:space="preserve">Mode 11</w:t>
      </w:r>
    </w:p>
    <w:bookmarkStart w:id="345" w:name="fig:fea_modes_compare_1_16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64: Abaqus — mode 11, 596.780 Hz" title="" id="16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False_riFalse/fea.mesh.mode_11.png" id="168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164: Abaqus — mode 11, 596.780 Hz</w:t>
      </w:r>
    </w:p>
    <w:bookmarkEnd w:id="341"/>
    <w:bookmarkStart w:id="346" w:name="fig:fea_modes_compare_1_16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65: Sesam — mode 11, 598.200 Hz" title="" id="16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False_riFalse/fea.mesh.mode_11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165: Sesam — mode 11, 598.200 Hz</w:t>
      </w:r>
    </w:p>
    <w:bookmarkEnd w:id="342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596.780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1.40601e+07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4.55e-07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1.33e-07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12.80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-3.65e-04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3.578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598.200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1.41271e+07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4.36e-07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3.62e-08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12.80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1.90e-04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-3.578</w:t>
            </w:r>
          </w:p>
        </w:tc>
      </w:tr>
    </w:tbl>
    <w:bookmarkEnd w:id="343"/>
    <w:bookmarkEnd w:id="344"/>
    <w:bookmarkStart w:id="347" w:name="solid-1st-order-hex"/>
    <w:p>
      <w:pPr>
        <w:pStyle w:val="AppendixX2"/>
        <w:spacing w:before="40"/>
        <w:ind w:left="850"/>
      </w:pPr>
      <w:r>
        <w:t xml:space="preserve">Solid, 1st order, HEX</w:t>
      </w:r>
    </w:p>
    <w:bookmarkStart w:id="348" w:name="mode-1-9"/>
    <w:p>
      <w:pPr>
        <w:pStyle w:val="AppendixX3"/>
        <w:spacing w:before="40"/>
        <w:ind w:left="850"/>
      </w:pPr>
      <w:r>
        <w:t xml:space="preserve">Mode 1</w:t>
      </w:r>
    </w:p>
    <w:bookmarkStart w:id="349" w:name="fig:fea_modes_compare_1_16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66: Abaqus — mode 1, 13.435 Hz" title="" id="17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False/fea.mesh.png" id="170" name="Picture"/>
                    <pic:cNvPicPr>
                      <a:picLocks noChangeArrowheads="1"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166: Abaqus — mode 1, 13.435 Hz</w:t>
      </w:r>
    </w:p>
    <w:bookmarkEnd w:id="345"/>
    <w:bookmarkStart w:id="350" w:name="fig:fea_modes_compare_1_16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67: Sesam — mode 1, 12.977 Hz" title="" id="17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True_riFalse/fea.mesh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167: Sesam — mode 1, 12.977 Hz</w:t>
      </w:r>
    </w:p>
    <w:bookmarkEnd w:id="346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13.435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+1.74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7125.8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4.92e-29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116.39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5.47e-23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-7.01e-15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10.788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-7.39e-12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12.977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6647.9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8.06e-25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1.16e-20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-8.98e-13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1.08e-10</w:t>
            </w:r>
          </w:p>
        </w:tc>
      </w:tr>
    </w:tbl>
    <w:bookmarkEnd w:id="347"/>
    <w:bookmarkStart w:id="351" w:name="mode-2-9"/>
    <w:p>
      <w:pPr>
        <w:pStyle w:val="AppendixX3"/>
        <w:spacing w:before="40"/>
        <w:ind w:left="850"/>
      </w:pPr>
      <w:r>
        <w:t xml:space="preserve">Mode 2</w:t>
      </w:r>
    </w:p>
    <w:bookmarkStart w:id="352" w:name="fig:fea_modes_compare_1_16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68: Abaqus — mode 2, 20.731 Hz" title="" id="17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False/fea.mesh.mode_2.png" id="172" name="Picture"/>
                    <pic:cNvPicPr>
                      <a:picLocks noChangeArrowheads="1"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168: Abaqus — mode 2, 20.731 Hz</w:t>
      </w:r>
    </w:p>
    <w:bookmarkEnd w:id="348"/>
    <w:bookmarkStart w:id="353" w:name="fig:fea_modes_compare_1_16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69: Sesam — mode 2, 20.302 Hz" title="" id="17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True_riFalse/fea.mesh.mode_2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169: Sesam — mode 2, 20.302 Hz</w:t>
      </w:r>
    </w:p>
    <w:bookmarkEnd w:id="349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20.731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+1.05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16967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7.03e-26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1.48e-18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2.87e-22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2.65e-13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1.22e-09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-1.69e-11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20.302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16271.1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2.93e-27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2.21e-19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3.64e-20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-5.41e-14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-4.70e-10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1.91e-10</w:t>
            </w:r>
          </w:p>
        </w:tc>
      </w:tr>
    </w:tbl>
    <w:bookmarkEnd w:id="350"/>
    <w:bookmarkStart w:id="354" w:name="mode-3-9"/>
    <w:p>
      <w:pPr>
        <w:pStyle w:val="AppendixX3"/>
        <w:spacing w:before="40"/>
        <w:ind w:left="850"/>
      </w:pPr>
      <w:r>
        <w:t xml:space="preserve">Mode 3</w:t>
      </w:r>
    </w:p>
    <w:bookmarkStart w:id="355" w:name="fig:fea_modes_compare_1_17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70: Abaqus — mode 3, 50.678 Hz" title="" id="17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False/fea.mesh.mode_3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170: Abaqus — mode 3, 50.678 Hz</w:t>
      </w:r>
    </w:p>
    <w:bookmarkEnd w:id="351"/>
    <w:bookmarkStart w:id="356" w:name="fig:fea_modes_compare_1_17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71: Sesam — mode 3, 50.618 Hz" title="" id="17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True_riFalse/fea.mesh.mode_3.png" id="175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171: Sesam — mode 3, 50.618 Hz</w:t>
      </w:r>
    </w:p>
    <w:bookmarkEnd w:id="352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50.678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101392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1.09e-25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2.57e-22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-3.30e-13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1.60e-11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50.618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101151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1.08e-24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8.70e-21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-1.04e-12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-9.33e-11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10.876</w:t>
            </w:r>
          </w:p>
        </w:tc>
      </w:tr>
    </w:tbl>
    <w:bookmarkEnd w:id="353"/>
    <w:bookmarkStart w:id="357" w:name="mode-4-9"/>
    <w:p>
      <w:pPr>
        <w:pStyle w:val="AppendixX3"/>
        <w:spacing w:before="40"/>
        <w:ind w:left="850"/>
      </w:pPr>
      <w:r>
        <w:t xml:space="preserve">Mode 4</w:t>
      </w:r>
    </w:p>
    <w:bookmarkStart w:id="358" w:name="fig:fea_modes_compare_1_17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72: Abaqus — mode 4, 82.799 Hz" title="" id="17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False/fea.mesh.mode_4.png" id="176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172: Abaqus — mode 4, 82.799 Hz</w:t>
      </w:r>
    </w:p>
    <w:bookmarkEnd w:id="354"/>
    <w:bookmarkStart w:id="359" w:name="fig:fea_modes_compare_1_17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73: Sesam — mode 4, 77.392 Hz" title="" id="17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True_riFalse/fea.mesh.mode_4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173: Sesam — mode 4, 77.392 Hz</w:t>
      </w:r>
    </w:p>
    <w:bookmarkEnd w:id="355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82.799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+3.38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270652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7.52e-26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36.02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2.70e-22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-2.74e-13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1.64e-11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77.392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236458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6.94e-26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35.94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6.82e-22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-2.63e-13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5.995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-2.61e-11</w:t>
            </w:r>
          </w:p>
        </w:tc>
      </w:tr>
    </w:tbl>
    <w:bookmarkEnd w:id="356"/>
    <w:bookmarkStart w:id="360" w:name="mode-5-9"/>
    <w:p>
      <w:pPr>
        <w:pStyle w:val="AppendixX3"/>
        <w:spacing w:before="40"/>
        <w:ind w:left="850"/>
      </w:pPr>
      <w:r>
        <w:t xml:space="preserve">Mode 5</w:t>
      </w:r>
    </w:p>
    <w:bookmarkStart w:id="361" w:name="fig:fea_modes_compare_1_17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74: Abaqus — mode 5, 100.195 Hz" title="" id="17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False/fea.mesh.mode_5.png" id="178" name="Picture"/>
                    <pic:cNvPicPr>
                      <a:picLocks noChangeArrowheads="1"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174: Abaqus — mode 5, 100.195 Hz</w:t>
      </w:r>
    </w:p>
    <w:bookmarkEnd w:id="357"/>
    <w:bookmarkStart w:id="362" w:name="fig:fea_modes_compare_1_17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75: Sesam — mode 5, 98.119 Hz" title="" id="17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True_riFalse/fea.mesh.mode_5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175: Sesam — mode 5, 98.119 Hz</w:t>
      </w:r>
    </w:p>
    <w:bookmarkEnd w:id="358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100.190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+1.04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396325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4.10e-26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6.87e-21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7.52e-23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2.03e-13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-8.29e-11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8.67e-12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98.119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380068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1.62e-25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2.53e-21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7.29e-23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4.03e-13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-5.03e-11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-8.54e-12</w:t>
            </w:r>
          </w:p>
        </w:tc>
      </w:tr>
    </w:tbl>
    <w:bookmarkEnd w:id="359"/>
    <w:bookmarkStart w:id="363" w:name="mode-6-9"/>
    <w:p>
      <w:pPr>
        <w:pStyle w:val="AppendixX3"/>
        <w:spacing w:before="40"/>
        <w:ind w:left="850"/>
      </w:pPr>
      <w:r>
        <w:t xml:space="preserve">Mode 6</w:t>
      </w:r>
    </w:p>
    <w:bookmarkStart w:id="364" w:name="fig:fea_modes_compare_1_17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76: Abaqus — mode 6, 223.139 Hz" title="" id="18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False/fea.mesh.mode_6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176: Abaqus — mode 6, 223.139 Hz</w:t>
      </w:r>
    </w:p>
    <w:bookmarkEnd w:id="360"/>
    <w:bookmarkStart w:id="365" w:name="fig:fea_modes_compare_1_17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77: Sesam — mode 6, 133.016 Hz" title="" id="18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True_riFalse/fea.mesh.mode_6.png" id="181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177: Sesam — mode 6, 133.016 Hz</w:t>
      </w:r>
    </w:p>
    <w:bookmarkEnd w:id="361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223.140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+25.30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1.96567e+06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2.33e-25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1.64e-23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-4.83e-13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4.05e-12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133.016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-25.30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698501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3.07e-26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1.44e-20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-1.75e-13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1.20e-10</w:t>
            </w:r>
          </w:p>
        </w:tc>
      </w:tr>
    </w:tbl>
    <w:bookmarkEnd w:id="362"/>
    <w:bookmarkStart w:id="366" w:name="mode-7-9"/>
    <w:p>
      <w:pPr>
        <w:pStyle w:val="AppendixX3"/>
        <w:spacing w:before="40"/>
        <w:ind w:left="850"/>
      </w:pPr>
      <w:r>
        <w:t xml:space="preserve">Mode 7</w:t>
      </w:r>
    </w:p>
    <w:bookmarkStart w:id="367" w:name="fig:fea_modes_compare_1_17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78: Abaqus — mode 7, 254.984 Hz" title="" id="18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False/fea.mesh.mode_7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178: Abaqus — mode 7, 254.984 Hz</w:t>
      </w:r>
    </w:p>
    <w:bookmarkEnd w:id="363"/>
    <w:bookmarkStart w:id="368" w:name="fig:fea_modes_compare_1_17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79: Sesam — mode 7, 153.833 Hz" title="" id="18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True_riFalse/fea.mesh.mode_7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179: Sesam — mode 7, 153.833 Hz</w:t>
      </w:r>
    </w:p>
    <w:bookmarkEnd w:id="36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254.980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+24.74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2.56676e+06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2.24e-25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2.85e-24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-4.74e-13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1.69e-12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-6.326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153.833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-24.74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934235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3.75e-25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1.37e-21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-6.13e-13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-1.788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3.70e-11</w:t>
            </w:r>
          </w:p>
        </w:tc>
      </w:tr>
    </w:tbl>
    <w:bookmarkEnd w:id="365"/>
    <w:bookmarkStart w:id="369" w:name="mode-8-9"/>
    <w:p>
      <w:pPr>
        <w:pStyle w:val="AppendixX3"/>
        <w:spacing w:before="40"/>
        <w:ind w:left="850"/>
      </w:pPr>
      <w:r>
        <w:t xml:space="preserve">Mode 8</w:t>
      </w:r>
    </w:p>
    <w:bookmarkStart w:id="370" w:name="fig:fea_modes_compare_1_18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80: Abaqus — mode 8, 260.095 Hz" title="" id="18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False/fea.mesh.mode_8.png" id="184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180: Abaqus — mode 8, 260.095 Hz</w:t>
      </w:r>
    </w:p>
    <w:bookmarkEnd w:id="366"/>
    <w:bookmarkStart w:id="371" w:name="fig:fea_modes_compare_1_18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81: Sesam — mode 8, 178.565 Hz" title="" id="18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True_riFalse/fea.mesh.mode_8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181: Sesam — mode 8, 178.565 Hz</w:t>
      </w:r>
    </w:p>
    <w:bookmarkEnd w:id="36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260.100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+18.59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2.6707e+06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2.66e-26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6.24e-23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3.82e-21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-1.63e-13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7.90e-12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6.18e-11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178.565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-18.59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1.25879e+06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3.19e-27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3.11e-21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-5.65e-14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5.58e-11</w:t>
            </w:r>
          </w:p>
        </w:tc>
      </w:tr>
    </w:tbl>
    <w:bookmarkEnd w:id="368"/>
    <w:bookmarkStart w:id="372" w:name="mode-9-9"/>
    <w:p>
      <w:pPr>
        <w:pStyle w:val="AppendixX3"/>
        <w:spacing w:before="40"/>
        <w:ind w:left="850"/>
      </w:pPr>
      <w:r>
        <w:t xml:space="preserve">Mode 9</w:t>
      </w:r>
    </w:p>
    <w:bookmarkStart w:id="373" w:name="fig:fea_modes_compare_1_18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82: Abaqus — mode 9, 396.567 Hz" title="" id="18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False/fea.mesh.mode_9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182: Abaqus — mode 9, 396.567 Hz</w:t>
      </w:r>
    </w:p>
    <w:bookmarkEnd w:id="369"/>
    <w:bookmarkStart w:id="374" w:name="fig:fea_modes_compare_1_18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83: Sesam — mode 9, 214.689 Hz" title="" id="18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True_riFalse/fea.mesh.mode_9.png" id="187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183: Sesam — mode 9, 214.689 Hz</w:t>
      </w:r>
    </w:p>
    <w:bookmarkEnd w:id="37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396.570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+29.76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6.20858e+06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2.52e-22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5.69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2.13e-23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1.59e-11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-2.385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4.61e-12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214.689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-29.76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1.81962e+06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5.15e-26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2.62e-22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-2.27e-13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0.662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-1.62e-11</w:t>
            </w:r>
          </w:p>
        </w:tc>
      </w:tr>
    </w:tbl>
    <w:bookmarkEnd w:id="371"/>
    <w:bookmarkStart w:id="375" w:name="mode-10-9"/>
    <w:p>
      <w:pPr>
        <w:pStyle w:val="AppendixX3"/>
        <w:spacing w:before="40"/>
        <w:ind w:left="850"/>
      </w:pPr>
      <w:r>
        <w:t xml:space="preserve">Mode 10</w:t>
      </w:r>
    </w:p>
    <w:bookmarkStart w:id="376" w:name="fig:fea_modes_compare_1_18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84: Abaqus — mode 10, 431.802 Hz" title="" id="18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False/fea.mesh.mode_10.png" id="188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184: Abaqus — mode 10, 431.802 Hz</w:t>
      </w:r>
    </w:p>
    <w:bookmarkEnd w:id="372"/>
    <w:bookmarkStart w:id="377" w:name="fig:fea_modes_compare_1_18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85: Sesam — mode 10, 253.463 Hz" title="" id="18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True_riFalse/fea.mesh.mode_10.png" id="189" name="Picture"/>
                    <pic:cNvPicPr>
                      <a:picLocks noChangeArrowheads="1"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185: Sesam — mode 10, 253.463 Hz</w:t>
      </w:r>
    </w:p>
    <w:bookmarkEnd w:id="373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431.800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+26.02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7.36085e+06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153.54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1.07e-21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9.26e-21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12.391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3.27e-11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-9.62e-11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253.463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-26.02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2.53623e+06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1.48e-19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5.14e-20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-3.84e-10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2.27e-10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-6.346</w:t>
            </w:r>
          </w:p>
        </w:tc>
      </w:tr>
    </w:tbl>
    <w:bookmarkEnd w:id="374"/>
    <w:bookmarkStart w:id="378" w:name="mode-11-9"/>
    <w:p>
      <w:pPr>
        <w:pStyle w:val="AppendixX3"/>
        <w:spacing w:before="40"/>
        <w:ind w:left="850"/>
      </w:pPr>
      <w:r>
        <w:t xml:space="preserve">Mode 11</w:t>
      </w:r>
    </w:p>
    <w:bookmarkStart w:id="379" w:name="fig:fea_modes_compare_1_18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86: Abaqus — mode 11, 486.965 Hz" title="" id="19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False/fea.mesh.mode_11.png" id="190" name="Picture"/>
                    <pic:cNvPicPr>
                      <a:picLocks noChangeArrowheads="1"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186: Abaqus — mode 11, 486.965 Hz</w:t>
      </w:r>
    </w:p>
    <w:bookmarkEnd w:id="375"/>
    <w:bookmarkStart w:id="380" w:name="fig:fea_modes_compare_1_18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87: Sesam — mode 11, 256.050 Hz" title="" id="19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1_hqTrue_riFalse/fea.mesh.mode_11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187: Sesam — mode 11, 256.050 Hz</w:t>
      </w:r>
    </w:p>
    <w:bookmarkEnd w:id="376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486.960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+31.08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9.3617e+06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1.09e-16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2.28e-18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1.17e-18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1.04e-08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1.51e-09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1.08e-09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256.050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-31.08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2.58827e+06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4.64e-20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1.35e-20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4.71e-23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2.15e-10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-1.16e-10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-6.86e-12</w:t>
            </w:r>
          </w:p>
        </w:tc>
      </w:tr>
    </w:tbl>
    <w:bookmarkEnd w:id="377"/>
    <w:bookmarkEnd w:id="378"/>
    <w:bookmarkStart w:id="381" w:name="solid-1st-order-hex-reduced-integration"/>
    <w:p>
      <w:pPr>
        <w:pStyle w:val="AppendixX2"/>
        <w:spacing w:before="40"/>
        <w:ind w:left="850"/>
      </w:pPr>
      <w:r>
        <w:t xml:space="preserve">Solid, 1st order, HEX, reduced integration</w:t>
      </w:r>
    </w:p>
    <w:bookmarkStart w:id="382" w:name="mode-1-10"/>
    <w:p>
      <w:pPr>
        <w:pStyle w:val="AppendixX3"/>
        <w:spacing w:before="40"/>
        <w:ind w:left="850"/>
      </w:pPr>
      <w:r>
        <w:t xml:space="preserve">Mode 1</w:t>
      </w:r>
    </w:p>
    <w:bookmarkStart w:id="383" w:name="fig:fea_modes_compare_1_18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88: Abaqus — mode 1, 12.514 Hz" title="" id="19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True/fea.mesh.png" id="192" name="Picture"/>
                    <pic:cNvPicPr>
                      <a:picLocks noChangeArrowheads="1"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188: Abaqus — mode 1, 12.514 Hz</w:t>
      </w:r>
    </w:p>
    <w:bookmarkEnd w:id="379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12.514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6182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1.92e-26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5.56e-23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1.39e-13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-7.45e-12</w:t>
            </w:r>
          </w:p>
        </w:tc>
      </w:tr>
    </w:tbl>
    <w:bookmarkEnd w:id="380"/>
    <w:bookmarkStart w:id="384" w:name="mode-2-10"/>
    <w:p>
      <w:pPr>
        <w:pStyle w:val="AppendixX3"/>
        <w:spacing w:before="40"/>
        <w:ind w:left="850"/>
      </w:pPr>
      <w:r>
        <w:t xml:space="preserve">Mode 2</w:t>
      </w:r>
    </w:p>
    <w:bookmarkStart w:id="385" w:name="fig:fea_modes_compare_1_18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89: Abaqus — mode 2, 34.157 Hz" title="" id="19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True/fea.mesh.mode_2.png" id="193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189: Abaqus — mode 2, 34.157 Hz</w:t>
      </w:r>
    </w:p>
    <w:bookmarkEnd w:id="381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34.157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46060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4.54e-27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1.11e-19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8.80e-22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6.74e-14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3.33e-10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-2.97e-11</w:t>
            </w:r>
          </w:p>
        </w:tc>
      </w:tr>
    </w:tbl>
    <w:bookmarkEnd w:id="382"/>
    <w:bookmarkStart w:id="386" w:name="mode-3-10"/>
    <w:p>
      <w:pPr>
        <w:pStyle w:val="AppendixX3"/>
        <w:spacing w:before="40"/>
        <w:ind w:left="850"/>
      </w:pPr>
      <w:r>
        <w:t xml:space="preserve">Mode 3</w:t>
      </w:r>
    </w:p>
    <w:bookmarkStart w:id="387" w:name="fig:fea_modes_compare_1_19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90: Abaqus — mode 3, 49.598 Hz" title="" id="19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True/fea.mesh.mode_3.png" id="194" name="Picture"/>
                    <pic:cNvPicPr>
                      <a:picLocks noChangeArrowheads="1"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190: Abaqus — mode 3, 49.598 Hz</w:t>
      </w:r>
    </w:p>
    <w:bookmarkEnd w:id="383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49.598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97114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1.57e-26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1.07e-20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-1.25e-13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1.03e-10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10.907</w:t>
            </w:r>
          </w:p>
        </w:tc>
      </w:tr>
    </w:tbl>
    <w:bookmarkEnd w:id="384"/>
    <w:bookmarkStart w:id="388" w:name="mode-4-10"/>
    <w:p>
      <w:pPr>
        <w:pStyle w:val="AppendixX3"/>
        <w:spacing w:before="40"/>
        <w:ind w:left="850"/>
      </w:pPr>
      <w:r>
        <w:t xml:space="preserve">Mode 4</w:t>
      </w:r>
    </w:p>
    <w:bookmarkStart w:id="389" w:name="fig:fea_modes_compare_1_19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91: Abaqus — mode 4, 55.271 Hz" title="" id="19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True/fea.mesh.mode_4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191: Abaqus — mode 4, 55.271 Hz</w:t>
      </w:r>
    </w:p>
    <w:bookmarkEnd w:id="385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55.271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120602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1.14e-25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1.05e-18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-3.37e-13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-1.456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1.02e-09</w:t>
            </w:r>
          </w:p>
        </w:tc>
      </w:tr>
    </w:tbl>
    <w:bookmarkEnd w:id="386"/>
    <w:bookmarkStart w:id="390" w:name="mode-5-10"/>
    <w:p>
      <w:pPr>
        <w:pStyle w:val="AppendixX3"/>
        <w:spacing w:before="40"/>
        <w:ind w:left="850"/>
      </w:pPr>
      <w:r>
        <w:t xml:space="preserve">Mode 5</w:t>
      </w:r>
    </w:p>
    <w:bookmarkStart w:id="391" w:name="fig:fea_modes_compare_1_19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92: Abaqus — mode 5, 64.305 Hz" title="" id="19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True/fea.mesh.mode_5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192: Abaqus — mode 5, 64.305 Hz</w:t>
      </w:r>
    </w:p>
    <w:bookmarkEnd w:id="38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64.305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163249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1.13e-26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8.64e-20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1.24e-20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-1.06e-13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-2.94e-10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1.11e-10</w:t>
            </w:r>
          </w:p>
        </w:tc>
      </w:tr>
    </w:tbl>
    <w:bookmarkEnd w:id="388"/>
    <w:bookmarkStart w:id="392" w:name="mode-6-10"/>
    <w:p>
      <w:pPr>
        <w:pStyle w:val="AppendixX3"/>
        <w:spacing w:before="40"/>
        <w:ind w:left="850"/>
      </w:pPr>
      <w:r>
        <w:t xml:space="preserve">Mode 6</w:t>
      </w:r>
    </w:p>
    <w:bookmarkStart w:id="393" w:name="fig:fea_modes_compare_1_19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93: Abaqus — mode 6, 74.866 Hz" title="" id="19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True/fea.mesh.mode_6.png" id="197" name="Picture"/>
                    <pic:cNvPicPr>
                      <a:picLocks noChangeArrowheads="1"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193: Abaqus — mode 6, 74.866 Hz</w:t>
      </w:r>
    </w:p>
    <w:bookmarkEnd w:id="389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74.866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221271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1.12e-26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31.40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1.02e-20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1.06e-13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-5.603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-1.01e-10</w:t>
            </w:r>
          </w:p>
        </w:tc>
      </w:tr>
    </w:tbl>
    <w:bookmarkEnd w:id="390"/>
    <w:bookmarkStart w:id="394" w:name="mode-7-10"/>
    <w:p>
      <w:pPr>
        <w:pStyle w:val="AppendixX3"/>
        <w:spacing w:before="40"/>
        <w:ind w:left="850"/>
      </w:pPr>
      <w:r>
        <w:t xml:space="preserve">Mode 7</w:t>
      </w:r>
    </w:p>
    <w:bookmarkStart w:id="395" w:name="fig:fea_modes_compare_1_19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94: Abaqus — mode 7, 90.033 Hz" title="" id="19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True/fea.mesh.mode_7.png" id="198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194: Abaqus — mode 7, 90.033 Hz</w:t>
      </w:r>
    </w:p>
    <w:bookmarkEnd w:id="391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90.033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320010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1.17e-28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5.27e-21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-1.08e-14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-1.671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7.26e-11</w:t>
            </w:r>
          </w:p>
        </w:tc>
      </w:tr>
    </w:tbl>
    <w:bookmarkEnd w:id="392"/>
    <w:bookmarkStart w:id="396" w:name="mode-8-10"/>
    <w:p>
      <w:pPr>
        <w:pStyle w:val="AppendixX3"/>
        <w:spacing w:before="40"/>
        <w:ind w:left="850"/>
      </w:pPr>
      <w:r>
        <w:t xml:space="preserve">Mode 8</w:t>
      </w:r>
    </w:p>
    <w:bookmarkStart w:id="397" w:name="fig:fea_modes_compare_1_19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95: Abaqus — mode 8, 124.578 Hz" title="" id="19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True/fea.mesh.mode_8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195: Abaqus — mode 8, 124.578 Hz</w:t>
      </w:r>
    </w:p>
    <w:bookmarkEnd w:id="393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124.580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612693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3.87e-24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3.38e-21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2.90e-24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-1.97e-12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-5.82e-11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-1.70e-12</w:t>
            </w:r>
          </w:p>
        </w:tc>
      </w:tr>
    </w:tbl>
    <w:bookmarkEnd w:id="394"/>
    <w:bookmarkStart w:id="398" w:name="mode-9-10"/>
    <w:p>
      <w:pPr>
        <w:pStyle w:val="AppendixX3"/>
        <w:spacing w:before="40"/>
        <w:ind w:left="850"/>
      </w:pPr>
      <w:r>
        <w:t xml:space="preserve">Mode 9</w:t>
      </w:r>
    </w:p>
    <w:bookmarkStart w:id="399" w:name="fig:fea_modes_compare_1_19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96: Abaqus — mode 9, 155.992 Hz" title="" id="20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True/fea.mesh.mode_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196: Abaqus — mode 9, 155.992 Hz</w:t>
      </w:r>
    </w:p>
    <w:bookmarkEnd w:id="395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155.990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960645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7.43e-21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2.07e-20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-8.62e-11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-1.44e-10</w:t>
            </w:r>
          </w:p>
        </w:tc>
      </w:tr>
    </w:tbl>
    <w:bookmarkEnd w:id="396"/>
    <w:bookmarkStart w:id="400" w:name="mode-10-10"/>
    <w:p>
      <w:pPr>
        <w:pStyle w:val="AppendixX3"/>
        <w:spacing w:before="40"/>
        <w:ind w:left="850"/>
      </w:pPr>
      <w:r>
        <w:t xml:space="preserve">Mode 10</w:t>
      </w:r>
    </w:p>
    <w:bookmarkStart w:id="401" w:name="fig:fea_modes_compare_1_19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97: Abaqus — mode 10, 159.952 Hz" title="" id="20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True/fea.mesh.mode_10.png" id="201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197: Abaqus — mode 10, 159.952 Hz</w:t>
      </w:r>
    </w:p>
    <w:bookmarkEnd w:id="39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159.950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1.01004e+06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3.65e-04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8.80e-19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3.04e-19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-9.38e-10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5.51e-10</w:t>
            </w:r>
          </w:p>
        </w:tc>
      </w:tr>
    </w:tbl>
    <w:bookmarkEnd w:id="398"/>
    <w:bookmarkStart w:id="402" w:name="mode-11-10"/>
    <w:p>
      <w:pPr>
        <w:pStyle w:val="AppendixX3"/>
        <w:spacing w:before="40"/>
        <w:ind w:left="850"/>
      </w:pPr>
      <w:r>
        <w:t xml:space="preserve">Mode 11</w:t>
      </w:r>
    </w:p>
    <w:bookmarkStart w:id="403" w:name="fig:fea_modes_compare_1_19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98: Abaqus — mode 11, 162.557 Hz" title="" id="20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1_hqTrue_riTrue/fea.mesh.mode_11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198: Abaqus — mode 11, 162.557 Hz</w:t>
      </w:r>
    </w:p>
    <w:bookmarkEnd w:id="399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162.560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1.04321e+06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4.88e-19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1.57e-19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3.29e-20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-6.98e-10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3.96e-10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-1.81e-10</w:t>
            </w:r>
          </w:p>
        </w:tc>
      </w:tr>
    </w:tbl>
    <w:bookmarkEnd w:id="400"/>
    <w:bookmarkEnd w:id="401"/>
    <w:bookmarkStart w:id="404" w:name="solid-2nd-order-tet"/>
    <w:p>
      <w:pPr>
        <w:pStyle w:val="AppendixX2"/>
        <w:spacing w:before="40"/>
        <w:ind w:left="850"/>
      </w:pPr>
      <w:r>
        <w:t xml:space="preserve">Solid, 2nd order, TET</w:t>
      </w:r>
    </w:p>
    <w:bookmarkStart w:id="405" w:name="mode-1-11"/>
    <w:p>
      <w:pPr>
        <w:pStyle w:val="AppendixX3"/>
        <w:spacing w:before="40"/>
        <w:ind w:left="850"/>
      </w:pPr>
      <w:r>
        <w:t xml:space="preserve">Mode 1</w:t>
      </w:r>
    </w:p>
    <w:bookmarkStart w:id="406" w:name="fig:fea_modes_compare_1_19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199: Abaqus — mode 1, 12.954 Hz" title="" id="20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False_riFalse/fea.mesh.png" id="203" name="Picture"/>
                    <pic:cNvPicPr>
                      <a:picLocks noChangeArrowheads="1"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199: Abaqus — mode 1, 12.954 Hz</w:t>
      </w:r>
    </w:p>
    <w:bookmarkEnd w:id="402"/>
    <w:bookmarkStart w:id="407" w:name="fig:fea_modes_compare_1_20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00: Sesam — mode 1, 12.954 Hz" title="" id="20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False_riFalse/fea.mesh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200: Sesam — mode 1, 12.954 Hz</w:t>
      </w:r>
    </w:p>
    <w:bookmarkEnd w:id="403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12.954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1.00e-03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6624.5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3.65e-13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2.81e-11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6.04e-07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5.30e-06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12.954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-1.00e-03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6624.46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3.01e-13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2.70e-11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-5.49e-07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-10.794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-5.20e-06</w:t>
            </w:r>
          </w:p>
        </w:tc>
      </w:tr>
    </w:tbl>
    <w:bookmarkEnd w:id="404"/>
    <w:bookmarkStart w:id="408" w:name="mode-2-11"/>
    <w:p>
      <w:pPr>
        <w:pStyle w:val="AppendixX3"/>
        <w:spacing w:before="40"/>
        <w:ind w:left="850"/>
      </w:pPr>
      <w:r>
        <w:t xml:space="preserve">Mode 2</w:t>
      </w:r>
    </w:p>
    <w:bookmarkStart w:id="409" w:name="fig:fea_modes_compare_1_20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01: Abaqus — mode 2, 20.294 Hz" title="" id="20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False_riFalse/fea.mesh.mode_2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201: Abaqus — mode 2, 20.294 Hz</w:t>
      </w:r>
    </w:p>
    <w:bookmarkEnd w:id="405"/>
    <w:bookmarkStart w:id="410" w:name="fig:fea_modes_compare_1_20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02: Sesam — mode 2, 20.294 Hz" title="" id="20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False_riFalse/fea.mesh.mode_2.png" id="206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202: Sesam — mode 2, 20.294 Hz</w:t>
      </w:r>
    </w:p>
    <w:bookmarkEnd w:id="406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20.294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-1.13e-03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16260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8.19e-12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5.86e-08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1.99e-09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2.86e-06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-2.42e-04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4.47e-05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20.294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1.13e-03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16259.8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8.59e-12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5.86e-08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1.98e-09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2.93e-06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-2.42e-04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4.45e-05</w:t>
            </w:r>
          </w:p>
        </w:tc>
      </w:tr>
    </w:tbl>
    <w:bookmarkEnd w:id="407"/>
    <w:bookmarkStart w:id="411" w:name="mode-3-11"/>
    <w:p>
      <w:pPr>
        <w:pStyle w:val="AppendixX3"/>
        <w:spacing w:before="40"/>
        <w:ind w:left="850"/>
      </w:pPr>
      <w:r>
        <w:t xml:space="preserve">Mode 3</w:t>
      </w:r>
    </w:p>
    <w:bookmarkStart w:id="412" w:name="fig:fea_modes_compare_1_20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03: Abaqus — mode 3, 50.540 Hz" title="" id="20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False_riFalse/fea.mesh.mode_3.png" id="207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203: Abaqus — mode 3, 50.540 Hz</w:t>
      </w:r>
    </w:p>
    <w:bookmarkEnd w:id="408"/>
    <w:bookmarkStart w:id="413" w:name="fig:fea_modes_compare_1_20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04: Sesam — mode 3, 50.540 Hz" title="" id="20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False_riFalse/fea.mesh.mode_3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204: Sesam — mode 3, 50.540 Hz</w:t>
      </w:r>
    </w:p>
    <w:bookmarkEnd w:id="409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50.540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-4.95e-05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100840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3.09e-10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1.03e-08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1.76e-05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-1.01e-04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50.540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4.95e-05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100840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3.10e-10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1.03e-08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1.76e-05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-1.01e-04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10.879</w:t>
            </w:r>
          </w:p>
        </w:tc>
      </w:tr>
    </w:tbl>
    <w:bookmarkEnd w:id="410"/>
    <w:bookmarkStart w:id="414" w:name="mode-4-11"/>
    <w:p>
      <w:pPr>
        <w:pStyle w:val="AppendixX3"/>
        <w:spacing w:before="40"/>
        <w:ind w:left="850"/>
      </w:pPr>
      <w:r>
        <w:t xml:space="preserve">Mode 4</w:t>
      </w:r>
    </w:p>
    <w:bookmarkStart w:id="415" w:name="fig:fea_modes_compare_1_20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05: Abaqus — mode 4, 77.128 Hz" title="" id="20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False_riFalse/fea.mesh.mode_4.png" id="209" name="Picture"/>
                    <pic:cNvPicPr>
                      <a:picLocks noChangeArrowheads="1"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205: Abaqus — mode 4, 77.128 Hz</w:t>
      </w:r>
    </w:p>
    <w:bookmarkEnd w:id="411"/>
    <w:bookmarkStart w:id="416" w:name="fig:fea_modes_compare_1_20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06: Sesam — mode 4, 77.128 Hz" title="" id="21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False_riFalse/fea.mesh.mode_4.png" id="210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206: Sesam — mode 4, 77.128 Hz</w:t>
      </w:r>
    </w:p>
    <w:bookmarkEnd w:id="412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77.128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1.43e-04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234845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6.40e-12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35.97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1.94e-09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2.53e-06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-4.41e-05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77.128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-1.43e-04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234845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1.04e-11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35.97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1.89e-09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3.22e-06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-4.35e-05</w:t>
            </w:r>
          </w:p>
        </w:tc>
      </w:tr>
    </w:tbl>
    <w:bookmarkEnd w:id="413"/>
    <w:bookmarkStart w:id="417" w:name="mode-5-11"/>
    <w:p>
      <w:pPr>
        <w:pStyle w:val="AppendixX3"/>
        <w:spacing w:before="40"/>
        <w:ind w:left="850"/>
      </w:pPr>
      <w:r>
        <w:t xml:space="preserve">Mode 5</w:t>
      </w:r>
    </w:p>
    <w:bookmarkStart w:id="418" w:name="fig:fea_modes_compare_1_20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07: Abaqus — mode 5, 97.830 Hz" title="" id="21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False_riFalse/fea.mesh.mode_5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207: Abaqus — mode 5, 97.830 Hz</w:t>
      </w:r>
    </w:p>
    <w:bookmarkEnd w:id="414"/>
    <w:bookmarkStart w:id="419" w:name="fig:fea_modes_compare_1_20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08: Sesam — mode 5, 97.830 Hz" title="" id="21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False_riFalse/fea.mesh.mode_5.png" id="212" name="Picture"/>
                    <pic:cNvPicPr>
                      <a:picLocks noChangeArrowheads="1"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208: Sesam — mode 5, 97.830 Hz</w:t>
      </w:r>
    </w:p>
    <w:bookmarkEnd w:id="415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97.830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2.10e-04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377834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1.93e-10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3.14e-07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6.49e-09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-1.39e-05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8.06e-05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97.830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-2.10e-04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377833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1.99e-10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3.14e-07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6.59e-09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1.41e-05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-8.12e-05</w:t>
            </w:r>
          </w:p>
        </w:tc>
      </w:tr>
    </w:tbl>
    <w:bookmarkEnd w:id="416"/>
    <w:bookmarkStart w:id="420" w:name="mode-6-11"/>
    <w:p>
      <w:pPr>
        <w:pStyle w:val="AppendixX3"/>
        <w:spacing w:before="40"/>
        <w:ind w:left="850"/>
      </w:pPr>
      <w:r>
        <w:t xml:space="preserve">Mode 6</w:t>
      </w:r>
    </w:p>
    <w:bookmarkStart w:id="421" w:name="fig:fea_modes_compare_1_20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09: Abaqus — mode 6, 132.482 Hz" title="" id="21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False_riFalse/fea.mesh.mode_6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209: Abaqus — mode 6, 132.482 Hz</w:t>
      </w:r>
    </w:p>
    <w:bookmarkEnd w:id="417"/>
    <w:bookmarkStart w:id="422" w:name="fig:fea_modes_compare_1_21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10: Sesam — mode 6, 132.478 Hz" title="" id="21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False_riFalse/fea.mesh.mode_6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210: Sesam — mode 6, 132.478 Hz</w:t>
      </w:r>
    </w:p>
    <w:bookmarkEnd w:id="418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132.480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6.04e-04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692901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1.05e-09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2.04e-09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3.23e-05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-4.51e-05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132.478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-6.04e-04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692867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1.14e-09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2.04e-09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-3.38e-05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4.52e-05</w:t>
            </w:r>
          </w:p>
        </w:tc>
      </w:tr>
    </w:tbl>
    <w:bookmarkEnd w:id="419"/>
    <w:bookmarkStart w:id="423" w:name="mode-7-11"/>
    <w:p>
      <w:pPr>
        <w:pStyle w:val="AppendixX3"/>
        <w:spacing w:before="40"/>
        <w:ind w:left="850"/>
      </w:pPr>
      <w:r>
        <w:t xml:space="preserve">Mode 7</w:t>
      </w:r>
    </w:p>
    <w:bookmarkStart w:id="424" w:name="fig:fea_modes_compare_1_21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11: Abaqus — mode 7, 153.634 Hz" title="" id="21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False_riFalse/fea.mesh.mode_7.png" id="215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211: Abaqus — mode 7, 153.634 Hz</w:t>
      </w:r>
    </w:p>
    <w:bookmarkEnd w:id="420"/>
    <w:bookmarkStart w:id="425" w:name="fig:fea_modes_compare_1_21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12: Sesam — mode 7, 153.631 Hz" title="" id="21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False_riFalse/fea.mesh.mode_7.png" id="216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212: Sesam — mode 7, 153.631 Hz</w:t>
      </w:r>
    </w:p>
    <w:bookmarkEnd w:id="421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153.630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-4.56e-04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931828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1.43e-08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2.11e-09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-1.19e-04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1.768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-4.59e-05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153.631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4.56e-04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931794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1.56e-08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2.15e-09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1.25e-04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-1.768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4.63e-05</w:t>
            </w:r>
          </w:p>
        </w:tc>
      </w:tr>
    </w:tbl>
    <w:bookmarkEnd w:id="422"/>
    <w:bookmarkStart w:id="426" w:name="mode-8-11"/>
    <w:p>
      <w:pPr>
        <w:pStyle w:val="AppendixX3"/>
        <w:spacing w:before="40"/>
        <w:ind w:left="850"/>
      </w:pPr>
      <w:r>
        <w:t xml:space="preserve">Mode 8</w:t>
      </w:r>
    </w:p>
    <w:bookmarkStart w:id="427" w:name="fig:fea_modes_compare_1_21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13: Abaqus — mode 8, 178.118 Hz" title="" id="21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False_riFalse/fea.mesh.mode_8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213: Abaqus — mode 8, 178.118 Hz</w:t>
      </w:r>
    </w:p>
    <w:bookmarkEnd w:id="423"/>
    <w:bookmarkStart w:id="428" w:name="fig:fea_modes_compare_1_21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14: Sesam — mode 8, 178.114 Hz" title="" id="21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False_riFalse/fea.mesh.mode_8.png" id="218" name="Picture"/>
                    <pic:cNvPicPr>
                      <a:picLocks noChangeArrowheads="1"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214: Sesam — mode 8, 178.114 Hz</w:t>
      </w:r>
    </w:p>
    <w:bookmarkEnd w:id="42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178.120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1.74e-03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1.2525e+06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2.65e-10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5.79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5.99e-10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-1.63e-05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-2.45e-05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178.114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-1.74e-03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1.25243e+06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3.03e-10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5.79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6.40e-10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1.74e-05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-2.406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2.53e-05</w:t>
            </w:r>
          </w:p>
        </w:tc>
      </w:tr>
    </w:tbl>
    <w:bookmarkEnd w:id="425"/>
    <w:bookmarkStart w:id="429" w:name="mode-9-11"/>
    <w:p>
      <w:pPr>
        <w:pStyle w:val="AppendixX3"/>
        <w:spacing w:before="40"/>
        <w:ind w:left="850"/>
      </w:pPr>
      <w:r>
        <w:t xml:space="preserve">Mode 9</w:t>
      </w:r>
    </w:p>
    <w:bookmarkStart w:id="430" w:name="fig:fea_modes_compare_1_21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15: Abaqus — mode 9, 215.822 Hz" title="" id="21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False_riFalse/fea.mesh.mode_9.png" id="219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215: Abaqus — mode 9, 215.822 Hz</w:t>
      </w:r>
    </w:p>
    <w:bookmarkEnd w:id="426"/>
    <w:bookmarkStart w:id="431" w:name="fig:fea_modes_compare_1_21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16: Sesam — mode 9, 215.815 Hz" title="" id="22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False_riFalse/fea.mesh.mode_9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216: Sesam — mode 9, 215.815 Hz</w:t>
      </w:r>
    </w:p>
    <w:bookmarkEnd w:id="42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215.820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1.20e-03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1.83887e+06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8.48e-08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8.50e-08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-2.91e-04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0.774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2.91e-04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215.815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-1.20e-03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1.83875e+06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9.03e-08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0.60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8.47e-08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3.00e-04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-2.91e-04</w:t>
            </w:r>
          </w:p>
        </w:tc>
      </w:tr>
    </w:tbl>
    <w:bookmarkEnd w:id="428"/>
    <w:bookmarkStart w:id="432" w:name="mode-10-11"/>
    <w:p>
      <w:pPr>
        <w:pStyle w:val="AppendixX3"/>
        <w:spacing w:before="40"/>
        <w:ind w:left="850"/>
      </w:pPr>
      <w:r>
        <w:t xml:space="preserve">Mode 10</w:t>
      </w:r>
    </w:p>
    <w:bookmarkStart w:id="433" w:name="fig:fea_modes_compare_1_21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17: Abaqus — mode 10, 253.203 Hz" title="" id="22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False_riFalse/fea.mesh.mode_10.png" id="221" name="Picture"/>
                    <pic:cNvPicPr>
                      <a:picLocks noChangeArrowheads="1"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217: Abaqus — mode 10, 253.203 Hz</w:t>
      </w:r>
    </w:p>
    <w:bookmarkEnd w:id="429"/>
    <w:bookmarkStart w:id="434" w:name="fig:fea_modes_compare_1_21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18: Sesam — mode 10, 253.203 Hz" title="" id="22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False_riFalse/fea.mesh.mode_10.png" id="222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218: Sesam — mode 10, 253.203 Hz</w:t>
      </w:r>
    </w:p>
    <w:bookmarkEnd w:id="43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253.200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-5.73e-04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2.53103e+06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8.86e-09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1.97e-08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-9.41e-05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1.40e-04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-6.344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253.203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5.73e-04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2.53103e+06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9.13e-09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1.99e-08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-9.56e-05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1.41e-04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-6.344</w:t>
            </w:r>
          </w:p>
        </w:tc>
      </w:tr>
    </w:tbl>
    <w:bookmarkEnd w:id="431"/>
    <w:bookmarkStart w:id="435" w:name="mode-11-11"/>
    <w:p>
      <w:pPr>
        <w:pStyle w:val="AppendixX3"/>
        <w:spacing w:before="40"/>
        <w:ind w:left="850"/>
      </w:pPr>
      <w:r>
        <w:t xml:space="preserve">Mode 11</w:t>
      </w:r>
    </w:p>
    <w:bookmarkStart w:id="436" w:name="fig:fea_modes_compare_1_21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19: Abaqus — mode 11, 254.466 Hz" title="" id="22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False_riFalse/fea.mesh.mode_11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219: Abaqus — mode 11, 254.466 Hz</w:t>
      </w:r>
    </w:p>
    <w:bookmarkEnd w:id="432"/>
    <w:bookmarkStart w:id="437" w:name="fig:fea_modes_compare_1_22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20: Sesam — mode 11, 254.466 Hz" title="" id="22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False_riFalse/fea.mesh.mode_11.png" id="224" name="Picture"/>
                    <pic:cNvPicPr>
                      <a:picLocks noChangeArrowheads="1"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220: Sesam — mode 11, 254.466 Hz</w:t>
      </w:r>
    </w:p>
    <w:bookmarkEnd w:id="433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254.470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8.65e-04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2.55635e+06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1.63e-09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6.96e-07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4.16e-05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-4.04e-05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254.466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-8.65e-04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2.55634e+06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1.66e-09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6.95e-07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4.17e-05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-4.07e-05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-0.006</w:t>
            </w:r>
          </w:p>
        </w:tc>
      </w:tr>
    </w:tbl>
    <w:bookmarkEnd w:id="434"/>
    <w:bookmarkEnd w:id="435"/>
    <w:bookmarkStart w:id="438" w:name="solid-2nd-order-hex"/>
    <w:p>
      <w:pPr>
        <w:pStyle w:val="AppendixX2"/>
        <w:spacing w:before="40"/>
        <w:ind w:left="850"/>
      </w:pPr>
      <w:r>
        <w:t xml:space="preserve">Solid, 2nd order, HEX</w:t>
      </w:r>
    </w:p>
    <w:bookmarkStart w:id="439" w:name="mode-1-12"/>
    <w:p>
      <w:pPr>
        <w:pStyle w:val="AppendixX3"/>
        <w:spacing w:before="40"/>
        <w:ind w:left="850"/>
      </w:pPr>
      <w:r>
        <w:t xml:space="preserve">Mode 1</w:t>
      </w:r>
    </w:p>
    <w:bookmarkStart w:id="440" w:name="fig:fea_modes_compare_1_22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21: Abaqus — mode 1, 12.955 Hz" title="" id="22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False/fea.mesh.png" id="225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221: Abaqus — mode 1, 12.955 Hz</w:t>
      </w:r>
    </w:p>
    <w:bookmarkEnd w:id="436"/>
    <w:bookmarkStart w:id="441" w:name="fig:fea_modes_compare_1_22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22: Sesam — mode 1, 12.954 Hz" title="" id="22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True_riFalse/fea.mesh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222: Sesam — mode 1, 12.954 Hz</w:t>
      </w:r>
    </w:p>
    <w:bookmarkEnd w:id="43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12.955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3.32e-03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6625.8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3.08e-24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5.64e-20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1.76e-12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2.37e-10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12.954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-3.32e-03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6624.86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3.50e-24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1.44e-22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1.87e-12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1.20e-11</w:t>
            </w:r>
          </w:p>
        </w:tc>
      </w:tr>
    </w:tbl>
    <w:bookmarkEnd w:id="438"/>
    <w:bookmarkStart w:id="442" w:name="mode-2-12"/>
    <w:p>
      <w:pPr>
        <w:pStyle w:val="AppendixX3"/>
        <w:spacing w:before="40"/>
        <w:ind w:left="850"/>
      </w:pPr>
      <w:r>
        <w:t xml:space="preserve">Mode 2</w:t>
      </w:r>
    </w:p>
    <w:bookmarkStart w:id="443" w:name="fig:fea_modes_compare_1_22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23: Abaqus — mode 2, 20.150 Hz" title="" id="22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False/fea.mesh.mode_2.png" id="227" name="Picture"/>
                    <pic:cNvPicPr>
                      <a:picLocks noChangeArrowheads="1"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223: Abaqus — mode 2, 20.150 Hz</w:t>
      </w:r>
    </w:p>
    <w:bookmarkEnd w:id="439"/>
    <w:bookmarkStart w:id="444" w:name="fig:fea_modes_compare_1_22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24: Sesam — mode 2, 20.044 Hz" title="" id="22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True_riFalse/fea.mesh.mode_2.png" id="228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224: Sesam — mode 2, 20.044 Hz</w:t>
      </w:r>
    </w:p>
    <w:bookmarkEnd w:id="44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20.150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16030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2.26e-25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4.71e-16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2.32e-18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-4.76e-13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2.17e-08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1.52e-09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20.044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15861.7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2.99e-24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4.86e-15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1.02e-18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1.73e-12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-6.97e-08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1.01e-09</w:t>
            </w:r>
          </w:p>
        </w:tc>
      </w:tr>
    </w:tbl>
    <w:bookmarkEnd w:id="441"/>
    <w:bookmarkStart w:id="445" w:name="mode-3-12"/>
    <w:p>
      <w:pPr>
        <w:pStyle w:val="AppendixX3"/>
        <w:spacing w:before="40"/>
        <w:ind w:left="850"/>
      </w:pPr>
      <w:r>
        <w:t xml:space="preserve">Mode 3</w:t>
      </w:r>
    </w:p>
    <w:bookmarkStart w:id="446" w:name="fig:fea_modes_compare_1_22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25: Abaqus — mode 3, 50.541 Hz" title="" id="22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False/fea.mesh.mode_3.png" id="229" name="Picture"/>
                    <pic:cNvPicPr>
                      <a:picLocks noChangeArrowheads="1"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225: Abaqus — mode 3, 50.541 Hz</w:t>
      </w:r>
    </w:p>
    <w:bookmarkEnd w:id="442"/>
    <w:bookmarkStart w:id="447" w:name="fig:fea_modes_compare_1_22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26: Sesam — mode 3, 50.534 Hz" title="" id="23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True_riFalse/fea.mesh.mode_3.png" id="230" name="Picture"/>
                    <pic:cNvPicPr>
                      <a:picLocks noChangeArrowheads="1"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226: Sesam — mode 3, 50.534 Hz</w:t>
      </w:r>
    </w:p>
    <w:bookmarkEnd w:id="443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50.541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100844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1.71e-23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8.62e-20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118.36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-4.13e-12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-2.94e-10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10.879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50.534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100816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4.30e-24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5.72e-22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2.07e-12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2.39e-11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10.880</w:t>
            </w:r>
          </w:p>
        </w:tc>
      </w:tr>
    </w:tbl>
    <w:bookmarkEnd w:id="444"/>
    <w:bookmarkStart w:id="448" w:name="mode-4-12"/>
    <w:p>
      <w:pPr>
        <w:pStyle w:val="AppendixX3"/>
        <w:spacing w:before="40"/>
        <w:ind w:left="850"/>
      </w:pPr>
      <w:r>
        <w:t xml:space="preserve">Mode 4</w:t>
      </w:r>
    </w:p>
    <w:bookmarkStart w:id="449" w:name="fig:fea_modes_compare_1_22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27: Abaqus — mode 4, 76.890 Hz" title="" id="23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False/fea.mesh.mode_4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227: Abaqus — mode 4, 76.890 Hz</w:t>
      </w:r>
    </w:p>
    <w:bookmarkEnd w:id="445"/>
    <w:bookmarkStart w:id="450" w:name="fig:fea_modes_compare_1_22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28: Sesam — mode 4, 76.747 Hz" title="" id="23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True_riFalse/fea.mesh.mode_4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228: Sesam — mode 4, 76.747 Hz</w:t>
      </w:r>
    </w:p>
    <w:bookmarkEnd w:id="446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76.890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233401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9.37e-28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35.91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1.14e-20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-3.06e-14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-5.993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-1.07e-10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76.747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232530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1.68e-24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35.89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3.76e-21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-1.29e-12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-5.991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6.13e-11</w:t>
            </w:r>
          </w:p>
        </w:tc>
      </w:tr>
    </w:tbl>
    <w:bookmarkEnd w:id="447"/>
    <w:bookmarkStart w:id="451" w:name="mode-5-12"/>
    <w:p>
      <w:pPr>
        <w:pStyle w:val="AppendixX3"/>
        <w:spacing w:before="40"/>
        <w:ind w:left="850"/>
      </w:pPr>
      <w:r>
        <w:t xml:space="preserve">Mode 5</w:t>
      </w:r>
    </w:p>
    <w:bookmarkStart w:id="452" w:name="fig:fea_modes_compare_1_22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29: Abaqus — mode 5, 97.594 Hz" title="" id="23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False/fea.mesh.mode_5.png" id="233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229: Abaqus — mode 5, 97.594 Hz</w:t>
      </w:r>
    </w:p>
    <w:bookmarkEnd w:id="448"/>
    <w:bookmarkStart w:id="453" w:name="fig:fea_modes_compare_1_23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30: Sesam — mode 5, 97.472 Hz" title="" id="23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True_riFalse/fea.mesh.mode_5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230: Sesam — mode 5, 97.472 Hz</w:t>
      </w:r>
    </w:p>
    <w:bookmarkEnd w:id="449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97.594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376015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1.21e-24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3.12e-19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1.62e-21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1.10e-12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-5.59e-10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-4.02e-11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97.472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375078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8.04e-25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3.55e-18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2.80e-21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-8.97e-13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1.88e-09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-5.29e-11</w:t>
            </w:r>
          </w:p>
        </w:tc>
      </w:tr>
    </w:tbl>
    <w:bookmarkEnd w:id="450"/>
    <w:bookmarkStart w:id="454" w:name="mode-6-12"/>
    <w:p>
      <w:pPr>
        <w:pStyle w:val="AppendixX3"/>
        <w:spacing w:before="40"/>
        <w:ind w:left="850"/>
      </w:pPr>
      <w:r>
        <w:t xml:space="preserve">Mode 6</w:t>
      </w:r>
    </w:p>
    <w:bookmarkStart w:id="455" w:name="fig:fea_modes_compare_1_23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31: Abaqus — mode 6, 131.365 Hz" title="" id="23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False/fea.mesh.mode_6.png" id="235" name="Picture"/>
                    <pic:cNvPicPr>
                      <a:picLocks noChangeArrowheads="1"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231: Abaqus — mode 6, 131.365 Hz</w:t>
      </w:r>
    </w:p>
    <w:bookmarkEnd w:id="451"/>
    <w:bookmarkStart w:id="456" w:name="fig:fea_modes_compare_1_23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32: Sesam — mode 6, 130.865 Hz" title="" id="23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True_riFalse/fea.mesh.mode_6.png" id="236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232: Sesam — mode 6, 130.865 Hz</w:t>
      </w:r>
    </w:p>
    <w:bookmarkEnd w:id="452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131.370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681273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2.05e-24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1.33e-19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1.43e-12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-3.65e-10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130.865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676090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1.00e-25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9.22e-22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3.16e-13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3.04e-11</w:t>
            </w:r>
          </w:p>
        </w:tc>
      </w:tr>
    </w:tbl>
    <w:bookmarkEnd w:id="453"/>
    <w:bookmarkStart w:id="457" w:name="mode-7-12"/>
    <w:p>
      <w:pPr>
        <w:pStyle w:val="AppendixX3"/>
        <w:spacing w:before="40"/>
        <w:ind w:left="850"/>
      </w:pPr>
      <w:r>
        <w:t xml:space="preserve">Mode 7</w:t>
      </w:r>
    </w:p>
    <w:bookmarkStart w:id="458" w:name="fig:fea_modes_compare_1_23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33: Abaqus — mode 7, 149.958 Hz" title="" id="23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False/fea.mesh.mode_7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233: Abaqus — mode 7, 149.958 Hz</w:t>
      </w:r>
    </w:p>
    <w:bookmarkEnd w:id="454"/>
    <w:bookmarkStart w:id="459" w:name="fig:fea_modes_compare_1_23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34: Sesam — mode 7, 148.496 Hz" title="" id="23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True_riFalse/fea.mesh.mode_7.png" id="238" name="Picture"/>
                    <pic:cNvPicPr>
                      <a:picLocks noChangeArrowheads="1"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234: Sesam — mode 7, 148.496 Hz</w:t>
      </w:r>
    </w:p>
    <w:bookmarkEnd w:id="455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149.960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887766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2.76e-24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8.83e-21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1.66e-12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9.40e-11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148.496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-0.49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870539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3.33e-25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1.39e-22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5.77e-13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-1.839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-1.18e-11</w:t>
            </w:r>
          </w:p>
        </w:tc>
      </w:tr>
    </w:tbl>
    <w:bookmarkEnd w:id="456"/>
    <w:bookmarkStart w:id="460" w:name="mode-8-12"/>
    <w:p>
      <w:pPr>
        <w:pStyle w:val="AppendixX3"/>
        <w:spacing w:before="40"/>
        <w:ind w:left="850"/>
      </w:pPr>
      <w:r>
        <w:t xml:space="preserve">Mode 8</w:t>
      </w:r>
    </w:p>
    <w:bookmarkStart w:id="461" w:name="fig:fea_modes_compare_1_23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35: Abaqus — mode 8, 173.925 Hz" title="" id="23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False/fea.mesh.mode_8.png" id="239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235: Abaqus — mode 8, 173.925 Hz</w:t>
      </w:r>
    </w:p>
    <w:bookmarkEnd w:id="457"/>
    <w:bookmarkStart w:id="462" w:name="fig:fea_modes_compare_1_23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36: Sesam — mode 8, 172.243 Hz" title="" id="24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True_riFalse/fea.mesh.mode_8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236: Sesam — mode 8, 172.243 Hz</w:t>
      </w:r>
    </w:p>
    <w:bookmarkEnd w:id="458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173.920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+0.48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1.19422e+06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4.36e-26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1.76e-20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2.09e-13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-1.33e-10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172.243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-0.48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1.17124e+06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8.12e-26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3.08e-22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2.85e-13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-2.305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-1.76e-11</w:t>
            </w:r>
          </w:p>
        </w:tc>
      </w:tr>
    </w:tbl>
    <w:bookmarkEnd w:id="459"/>
    <w:bookmarkStart w:id="463" w:name="mode-9-12"/>
    <w:p>
      <w:pPr>
        <w:pStyle w:val="AppendixX3"/>
        <w:spacing w:before="40"/>
        <w:ind w:left="850"/>
      </w:pPr>
      <w:r>
        <w:t xml:space="preserve">Mode 9</w:t>
      </w:r>
    </w:p>
    <w:bookmarkStart w:id="464" w:name="fig:fea_modes_compare_1_23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37: Abaqus — mode 9, 205.292 Hz" title="" id="24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False/fea.mesh.mode_9.png" id="241" name="Picture"/>
                    <pic:cNvPicPr>
                      <a:picLocks noChangeArrowheads="1"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237: Abaqus — mode 9, 205.292 Hz</w:t>
      </w:r>
    </w:p>
    <w:bookmarkEnd w:id="460"/>
    <w:bookmarkStart w:id="465" w:name="fig:fea_modes_compare_1_23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38: Sesam — mode 9, 201.904 Hz" title="" id="24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True_riFalse/fea.mesh.mode_9.png" id="242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238: Sesam — mode 9, 201.904 Hz</w:t>
      </w:r>
    </w:p>
    <w:bookmarkEnd w:id="461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205.290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+0.83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1.66381e+06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4.78e-27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2.91e-22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6.91e-14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1.71e-11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201.904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-0.83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1.60935e+06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1.55e-24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1.71e-22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-1.25e-12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1.31e-11</w:t>
            </w:r>
          </w:p>
        </w:tc>
      </w:tr>
    </w:tbl>
    <w:bookmarkEnd w:id="462"/>
    <w:bookmarkStart w:id="466" w:name="mode-10-12"/>
    <w:p>
      <w:pPr>
        <w:pStyle w:val="AppendixX3"/>
        <w:spacing w:before="40"/>
        <w:ind w:left="850"/>
      </w:pPr>
      <w:r>
        <w:t xml:space="preserve">Mode 10</w:t>
      </w:r>
    </w:p>
    <w:bookmarkStart w:id="467" w:name="fig:fea_modes_compare_1_23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39: Abaqus — mode 10, 251.347 Hz" title="" id="24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False/fea.mesh.mode_10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239: Abaqus — mode 10, 251.347 Hz</w:t>
      </w:r>
    </w:p>
    <w:bookmarkEnd w:id="463"/>
    <w:bookmarkStart w:id="468" w:name="fig:fea_modes_compare_1_24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40: Sesam — mode 10, 246.353 Hz" title="" id="24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True_riFalse/fea.mesh.mode_10.png" id="244" name="Picture"/>
                    <pic:cNvPicPr>
                      <a:picLocks noChangeArrowheads="1"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240: Sesam — mode 10, 246.353 Hz</w:t>
      </w:r>
    </w:p>
    <w:bookmarkEnd w:id="46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251.350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+1.00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2.49407e+06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1.08e-21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3.13e-19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3.29e-11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1.267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-5.59e-10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246.353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2.39594e+06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1.32e-18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6.50e-19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-1.15e-09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8.06e-10</w:t>
            </w:r>
          </w:p>
        </w:tc>
      </w:tr>
    </w:tbl>
    <w:bookmarkEnd w:id="465"/>
    <w:bookmarkStart w:id="469" w:name="mode-11-12"/>
    <w:p>
      <w:pPr>
        <w:pStyle w:val="AppendixX3"/>
        <w:spacing w:before="40"/>
        <w:ind w:left="850"/>
      </w:pPr>
      <w:r>
        <w:t xml:space="preserve">Mode 11</w:t>
      </w:r>
    </w:p>
    <w:bookmarkStart w:id="470" w:name="fig:fea_modes_compare_1_24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41: Abaqus — mode 11, 252.917 Hz" title="" id="24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False/fea.mesh.mode_11.png" id="245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241: Abaqus — mode 11, 252.917 Hz</w:t>
      </w:r>
    </w:p>
    <w:bookmarkEnd w:id="466"/>
    <w:bookmarkStart w:id="471" w:name="fig:fea_modes_compare_1_24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42: Sesam — mode 11, 252.742 Hz" title="" id="24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ses_solid_o2_hqTrue_riFalse/fea.mesh.mode_11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242: Sesam — mode 11, 252.742 Hz</w:t>
      </w:r>
    </w:p>
    <w:bookmarkEnd w:id="46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252.920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2.52532e+06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4.22e-22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4.70e-20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2.05e-11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2.17e-10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-6.344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252.742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2.52182e+06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2.26e-15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2.80e-16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-4.75e-08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1.67e-08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6.346</w:t>
            </w:r>
          </w:p>
        </w:tc>
      </w:tr>
    </w:tbl>
    <w:bookmarkEnd w:id="468"/>
    <w:bookmarkEnd w:id="469"/>
    <w:bookmarkStart w:id="472" w:name="solid-2nd-order-hex-reduced-integration"/>
    <w:p>
      <w:pPr>
        <w:pStyle w:val="AppendixX2"/>
        <w:spacing w:before="40"/>
        <w:ind w:left="850"/>
      </w:pPr>
      <w:r>
        <w:t xml:space="preserve">Solid, 2nd order, HEX, reduced integration</w:t>
      </w:r>
    </w:p>
    <w:bookmarkStart w:id="473" w:name="mode-1-13"/>
    <w:p>
      <w:pPr>
        <w:pStyle w:val="AppendixX3"/>
        <w:spacing w:before="40"/>
        <w:ind w:left="850"/>
      </w:pPr>
      <w:r>
        <w:t xml:space="preserve">Mode 1</w:t>
      </w:r>
    </w:p>
    <w:bookmarkStart w:id="474" w:name="fig:fea_modes_compare_1_24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43: Abaqus — mode 1, 12.943 Hz" title="" id="24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True/fea.mesh.png" id="247" name="Picture"/>
                    <pic:cNvPicPr>
                      <a:picLocks noChangeArrowheads="1"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243: Abaqus — mode 1, 12.943 Hz</w:t>
      </w:r>
    </w:p>
    <w:bookmarkEnd w:id="47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12.943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6613.2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5.11e-26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116.56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2.93e-20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-2.26e-13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10.796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1.71e-10</w:t>
            </w:r>
          </w:p>
        </w:tc>
      </w:tr>
    </w:tbl>
    <w:bookmarkEnd w:id="471"/>
    <w:bookmarkStart w:id="475" w:name="mode-2-13"/>
    <w:p>
      <w:pPr>
        <w:pStyle w:val="AppendixX3"/>
        <w:spacing w:before="40"/>
        <w:ind w:left="850"/>
      </w:pPr>
      <w:r>
        <w:t xml:space="preserve">Mode 2</w:t>
      </w:r>
    </w:p>
    <w:bookmarkStart w:id="476" w:name="fig:fea_modes_compare_1_24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44: Abaqus — mode 2, 20.029 Hz" title="" id="248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True/fea.mesh.mode_2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244: Abaqus — mode 2, 20.029 Hz</w:t>
      </w:r>
    </w:p>
    <w:bookmarkEnd w:id="472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20.029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15837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2.00e-26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8.47e-16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7.79e-20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-1.41e-13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2.91e-08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-2.79e-10</w:t>
            </w:r>
          </w:p>
        </w:tc>
      </w:tr>
    </w:tbl>
    <w:bookmarkEnd w:id="473"/>
    <w:bookmarkStart w:id="477" w:name="mode-3-13"/>
    <w:p>
      <w:pPr>
        <w:pStyle w:val="AppendixX3"/>
        <w:spacing w:before="40"/>
        <w:ind w:left="850"/>
      </w:pPr>
      <w:r>
        <w:t xml:space="preserve">Mode 3</w:t>
      </w:r>
    </w:p>
    <w:bookmarkStart w:id="478" w:name="fig:fea_modes_compare_1_24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45: Abaqus — mode 3, 50.498 Hz" title="" id="249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True/fea.mesh.mode_3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245: Abaqus — mode 3, 50.498 Hz</w:t>
      </w:r>
    </w:p>
    <w:bookmarkEnd w:id="47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50.498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100671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1.64e-24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3.78e-20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118.41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-1.28e-12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-1.94e-10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10.882</w:t>
            </w:r>
          </w:p>
        </w:tc>
      </w:tr>
    </w:tbl>
    <w:bookmarkEnd w:id="475"/>
    <w:bookmarkStart w:id="479" w:name="mode-4-13"/>
    <w:p>
      <w:pPr>
        <w:pStyle w:val="AppendixX3"/>
        <w:spacing w:before="40"/>
        <w:ind w:left="850"/>
      </w:pPr>
      <w:r>
        <w:t xml:space="preserve">Mode 4</w:t>
      </w:r>
    </w:p>
    <w:bookmarkStart w:id="480" w:name="fig:fea_modes_compare_1_24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46: Abaqus — mode 4, 76.687 Hz" title="" id="250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True/fea.mesh.mode_4.png" id="250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246: Abaqus — mode 4, 76.687 Hz</w:t>
      </w:r>
    </w:p>
    <w:bookmarkEnd w:id="476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76.687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232171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2.11e-25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35.90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8.07e-22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-4.60e-13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-5.992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-2.84e-11</w:t>
            </w:r>
          </w:p>
        </w:tc>
      </w:tr>
    </w:tbl>
    <w:bookmarkEnd w:id="477"/>
    <w:bookmarkStart w:id="481" w:name="mode-5-13"/>
    <w:p>
      <w:pPr>
        <w:pStyle w:val="AppendixX3"/>
        <w:spacing w:before="40"/>
        <w:ind w:left="850"/>
      </w:pPr>
      <w:r>
        <w:t xml:space="preserve">Mode 5</w:t>
      </w:r>
    </w:p>
    <w:bookmarkStart w:id="482" w:name="fig:fea_modes_compare_1_24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47: Abaqus — mode 5, 97.391 Hz" title="" id="251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True/fea.mesh.mode_5.png" id="251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247: Abaqus — mode 5, 97.391 Hz</w:t>
      </w:r>
    </w:p>
    <w:bookmarkEnd w:id="478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97.391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374455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1.68e-25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8.25e-19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2.52e-24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4.10e-13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-9.08e-10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-1.59e-12</w:t>
            </w:r>
          </w:p>
        </w:tc>
      </w:tr>
    </w:tbl>
    <w:bookmarkEnd w:id="479"/>
    <w:bookmarkStart w:id="483" w:name="mode-6-13"/>
    <w:p>
      <w:pPr>
        <w:pStyle w:val="AppendixX3"/>
        <w:spacing w:before="40"/>
        <w:ind w:left="850"/>
      </w:pPr>
      <w:r>
        <w:t xml:space="preserve">Mode 6</w:t>
      </w:r>
    </w:p>
    <w:bookmarkStart w:id="484" w:name="fig:fea_modes_compare_1_24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48: Abaqus — mode 6, 130.809 Hz" title="" id="252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True/fea.mesh.mode_6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248: Abaqus — mode 6, 130.809 Hz</w:t>
      </w:r>
    </w:p>
    <w:bookmarkEnd w:id="48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130.810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675515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5.64e-26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6.07e-21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-2.37e-13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7.79e-11</w:t>
            </w:r>
          </w:p>
        </w:tc>
      </w:tr>
    </w:tbl>
    <w:bookmarkEnd w:id="481"/>
    <w:bookmarkStart w:id="485" w:name="mode-7-13"/>
    <w:p>
      <w:pPr>
        <w:pStyle w:val="AppendixX3"/>
        <w:spacing w:before="40"/>
        <w:ind w:left="850"/>
      </w:pPr>
      <w:r>
        <w:t xml:space="preserve">Mode 7</w:t>
      </w:r>
    </w:p>
    <w:bookmarkStart w:id="486" w:name="fig:fea_modes_compare_1_24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49: Abaqus — mode 7, 148.474 Hz" title="" id="253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True/fea.mesh.mode_7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249: Abaqus — mode 7, 148.474 Hz</w:t>
      </w:r>
    </w:p>
    <w:bookmarkEnd w:id="482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148.470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870287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1.93e-24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2.12e-22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-1.39e-12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-1.46e-11</w:t>
            </w:r>
          </w:p>
        </w:tc>
      </w:tr>
    </w:tbl>
    <w:bookmarkEnd w:id="483"/>
    <w:bookmarkStart w:id="487" w:name="mode-8-13"/>
    <w:p>
      <w:pPr>
        <w:pStyle w:val="AppendixX3"/>
        <w:spacing w:before="40"/>
        <w:ind w:left="850"/>
      </w:pPr>
      <w:r>
        <w:t xml:space="preserve">Mode 8</w:t>
      </w:r>
    </w:p>
    <w:bookmarkStart w:id="488" w:name="fig:fea_modes_compare_1_25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50: Abaqus — mode 8, 172.171 Hz" title="" id="254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True/fea.mesh.mode_8.png" id="254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250: Abaqus — mode 8, 172.171 Hz</w:t>
      </w:r>
    </w:p>
    <w:bookmarkEnd w:id="48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172.170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1.17026e+06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1.27e-25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9.73e-21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3.57e-13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9.86e-11</w:t>
            </w:r>
          </w:p>
        </w:tc>
      </w:tr>
    </w:tbl>
    <w:bookmarkEnd w:id="485"/>
    <w:bookmarkStart w:id="489" w:name="mode-9-13"/>
    <w:p>
      <w:pPr>
        <w:pStyle w:val="AppendixX3"/>
        <w:spacing w:before="40"/>
        <w:ind w:left="850"/>
      </w:pPr>
      <w:r>
        <w:t xml:space="preserve">Mode 9</w:t>
      </w:r>
    </w:p>
    <w:bookmarkStart w:id="490" w:name="fig:fea_modes_compare_1_25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51: Abaqus — mode 9, 201.839 Hz" title="" id="255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True/fea.mesh.mode_9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251: Abaqus — mode 9, 201.839 Hz</w:t>
      </w:r>
    </w:p>
    <w:bookmarkEnd w:id="486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201.840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1.60831e+06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9.86e-25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0.56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1.17e-21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-9.93e-13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-0.747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3.42e-11</w:t>
            </w:r>
          </w:p>
        </w:tc>
      </w:tr>
    </w:tbl>
    <w:bookmarkEnd w:id="487"/>
    <w:bookmarkStart w:id="491" w:name="mode-10-13"/>
    <w:p>
      <w:pPr>
        <w:pStyle w:val="AppendixX3"/>
        <w:spacing w:before="40"/>
        <w:ind w:left="850"/>
      </w:pPr>
      <w:r>
        <w:t xml:space="preserve">Mode 10</w:t>
      </w:r>
    </w:p>
    <w:bookmarkStart w:id="492" w:name="fig:fea_modes_compare_1_25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52: Abaqus — mode 10, 246.165 Hz" title="" id="256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True/fea.mesh.mode_10.png" id="256" name="Picture"/>
                    <pic:cNvPicPr>
                      <a:picLocks noChangeArrowheads="1"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252: Abaqus — mode 10, 246.165 Hz</w:t>
      </w:r>
    </w:p>
    <w:bookmarkEnd w:id="488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246.170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2.39228e+06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3.32e-21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1.28e-24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5.76e-11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-1.13e-12</w:t>
            </w:r>
          </w:p>
        </w:tc>
      </w:tr>
    </w:tbl>
    <w:bookmarkEnd w:id="489"/>
    <w:bookmarkStart w:id="493" w:name="mode-11-13"/>
    <w:p>
      <w:pPr>
        <w:pStyle w:val="AppendixX3"/>
        <w:spacing w:before="40"/>
        <w:ind w:left="850"/>
      </w:pPr>
      <w:r>
        <w:t xml:space="preserve">Mode 11</w:t>
      </w:r>
    </w:p>
    <w:bookmarkStart w:id="494" w:name="fig:fea_modes_compare_1_25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53: Abaqus — mode 11, 252.573 Hz" title="" id="257" name="Picture"/>
            <a:graphic>
              <a:graphicData uri="http://schemas.openxmlformats.org/drawingml/2006/picture">
                <pic:pic>
                  <pic:nvPicPr>
                    <pic:cNvPr descr="../../../../verification/_assets/cantilever_EIG_aba_solid_o2_hqTrue_riTrue/fea.mesh.mode_11.png" id="257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253: Abaqus — mode 11, 252.573 Hz</w:t>
      </w:r>
    </w:p>
    <w:bookmarkEnd w:id="49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252.570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2.51846e+06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4.57e-21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2.25e-19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40.26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6.76e-11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4.75e-10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-6.345</w:t>
            </w:r>
          </w:p>
        </w:tc>
      </w:tr>
    </w:tbl>
    <w:bookmarkEnd w:id="491"/>
    <w:bookmarkEnd w:id="492"/>
    <w:bookmarkEnd w:id="493"/>
    <w:bookmarkStart w:id="495" w:name="plate-eigenvalue-analysis"/>
    <w:p>
      <w:pPr>
        <w:pStyle w:val="AppendixX1"/>
        <w:spacing w:before="40"/>
        <w:ind w:left="850"/>
      </w:pPr>
      <w:r>
        <w:t xml:space="preserve">Plate eigenvalue analysis</w:t>
      </w:r>
    </w:p>
    <w:p>
      <w:pPr>
        <w:pStyle w:val="NormalIndent"/>
        <w:spacing w:before="40"/>
        <w:ind w:left="850"/>
      </w:pPr>
      <w:r>
        <w:t xml:space="preserve">The plain and the stiffened strip, at the eigen case’s 0.0625 m seed.</w:t>
      </w:r>
    </w:p>
    <w:bookmarkStart w:id="496" w:name="shell-1st-order-plain"/>
    <w:p>
      <w:pPr>
        <w:pStyle w:val="AppendixX2"/>
        <w:spacing w:before="40"/>
        <w:ind w:left="850"/>
      </w:pPr>
      <w:r>
        <w:t xml:space="preserve">Shell, 1st order, plain</w:t>
      </w:r>
    </w:p>
    <w:bookmarkStart w:id="497" w:name="mode-1-14"/>
    <w:p>
      <w:pPr>
        <w:pStyle w:val="AppendixX3"/>
        <w:spacing w:before="40"/>
        <w:ind w:left="850"/>
      </w:pPr>
      <w:r>
        <w:t xml:space="preserve">Mode 1</w:t>
      </w:r>
    </w:p>
    <w:bookmarkStart w:id="498" w:name="fig:fea_modes_compare_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54: Abaqus — mode 1, 1.537 Hz" title="" id="258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aba_shell_o1_stFalse/fea.mesh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254: Abaqus — mode 1, 1.537 Hz</w:t>
      </w:r>
    </w:p>
    <w:bookmarkEnd w:id="494"/>
    <w:bookmarkStart w:id="499" w:name="fig:fea_modes_compare_2_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55: Sesam — mode 1, 1.537 Hz" title="" id="259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ses_shell_o1_stFalse/fea.mesh.png" id="259" name="Picture"/>
                    <pic:cNvPicPr>
                      <a:picLocks noChangeArrowheads="1"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255: Sesam — mode 1, 1.537 Hz</w:t>
      </w:r>
    </w:p>
    <w:bookmarkEnd w:id="495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closed form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93.269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6.40e-31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3.03e-35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127.26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-8.00e-16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5.50e-18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11.281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-4.98e-06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93.2152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2.62e-40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5.38e-45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127.17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-1.62e-20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7.33e-23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-11.277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Closed form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</w:tr>
    </w:tbl>
    <w:bookmarkEnd w:id="496"/>
    <w:bookmarkStart w:id="500" w:name="mode-2-14"/>
    <w:p>
      <w:pPr>
        <w:pStyle w:val="AppendixX3"/>
        <w:spacing w:before="40"/>
        <w:ind w:left="850"/>
      </w:pPr>
      <w:r>
        <w:t xml:space="preserve">Mode 2</w:t>
      </w:r>
    </w:p>
    <w:bookmarkStart w:id="501" w:name="fig:fea_modes_compare_2_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56: Abaqus — mode 2, 6.154 Hz" title="" id="260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aba_shell_o1_stFalse/fea.mesh.mode_2.png" id="260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256: Abaqus — mode 2, 6.154 Hz</w:t>
      </w:r>
    </w:p>
    <w:bookmarkEnd w:id="497"/>
    <w:bookmarkStart w:id="502" w:name="fig:fea_modes_compare_2_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57: Sesam — mode 2, 6.146 Hz" title="" id="261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ses_shell_o1_stFalse/fea.mesh.mode_2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257: Sesam — mode 2, 6.146 Hz</w:t>
      </w:r>
    </w:p>
    <w:bookmarkEnd w:id="498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closed form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6.154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1494.9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5.42e-31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1.34e-33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5.32e-21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7.36e-16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-3.66e-17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7.29e-11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1.13e-05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1491.44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2.17e-34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3.37e-39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9.71e-23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-1.47e-17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5.81e-20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-9.85e-12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Closed form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</w:tr>
    </w:tbl>
    <w:bookmarkEnd w:id="499"/>
    <w:bookmarkStart w:id="503" w:name="mode-3-14"/>
    <w:p>
      <w:pPr>
        <w:pStyle w:val="AppendixX3"/>
        <w:spacing w:before="40"/>
        <w:ind w:left="850"/>
      </w:pPr>
      <w:r>
        <w:t xml:space="preserve">Mode 3</w:t>
      </w:r>
    </w:p>
    <w:bookmarkStart w:id="504" w:name="fig:fea_modes_compare_2_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58: Abaqus — mode 3, 13.866 Hz" title="" id="262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aba_shell_o1_stFalse/fea.mesh.mode_3.png" id="262" name="Picture"/>
                    <pic:cNvPicPr>
                      <a:picLocks noChangeArrowheads="1"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258: Abaqus — mode 3, 13.866 Hz</w:t>
      </w:r>
    </w:p>
    <w:bookmarkEnd w:id="500"/>
    <w:bookmarkStart w:id="505" w:name="fig:fea_modes_compare_2_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59: Sesam — mode 3, 13.829 Hz" title="" id="263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ses_shell_o1_stFalse/fea.mesh.mode_3.png" id="263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259: Sesam — mode 3, 13.829 Hz</w:t>
      </w:r>
    </w:p>
    <w:bookmarkEnd w:id="501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closed form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13.866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7589.9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4.43e-30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5.80e-32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14.14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2.10e-15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-2.41e-16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-3.760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13.829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6.01e-05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7550.43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2.14e-34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3.80e-39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14.05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-1.46e-17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6.17e-20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-3.748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Closed form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13.829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</w:tr>
    </w:tbl>
    <w:bookmarkEnd w:id="502"/>
    <w:bookmarkStart w:id="506" w:name="mode-4-14"/>
    <w:p>
      <w:pPr>
        <w:pStyle w:val="AppendixX3"/>
        <w:spacing w:before="40"/>
        <w:ind w:left="850"/>
      </w:pPr>
      <w:r>
        <w:t xml:space="preserve">Mode 4</w:t>
      </w:r>
    </w:p>
    <w:bookmarkStart w:id="507" w:name="fig:fea_modes_compare_2_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60: Abaqus — mode 4, 24.700 Hz" title="" id="264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aba_shell_o1_stFalse/fea.mesh.mode_4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260: Abaqus — mode 4, 24.700 Hz</w:t>
      </w:r>
    </w:p>
    <w:bookmarkEnd w:id="503"/>
    <w:bookmarkStart w:id="508" w:name="fig:fea_modes_compare_2_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61: Sesam — mode 4, 24.586 Hz" title="" id="265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ses_shell_o1_stFalse/fea.mesh.mode_4.png" id="265" name="Picture"/>
                    <pic:cNvPicPr>
                      <a:picLocks noChangeArrowheads="1"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261: Sesam — mode 4, 24.586 Hz</w:t>
      </w:r>
    </w:p>
    <w:bookmarkEnd w:id="50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closed form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24.700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+0.46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24086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1.04e-28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7.36e-32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1.83e-23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-1.02e-14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2.71e-16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4.27e-12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24.586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1.01e-04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23863.1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1.77e-33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1.52e-36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1.13e-23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4.21e-17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1.23e-18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3.36e-12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Closed form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24.586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</w:tr>
    </w:tbl>
    <w:bookmarkEnd w:id="505"/>
    <w:bookmarkStart w:id="509" w:name="mode-5-14"/>
    <w:p>
      <w:pPr>
        <w:pStyle w:val="AppendixX3"/>
        <w:spacing w:before="40"/>
        <w:ind w:left="850"/>
      </w:pPr>
      <w:r>
        <w:t xml:space="preserve">Mode 5</w:t>
      </w:r>
    </w:p>
    <w:bookmarkStart w:id="510" w:name="fig:fea_modes_compare_2_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62: Abaqus — mode 5, 38.695 Hz" title="" id="266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aba_shell_o1_stFalse/fea.mesh.mode_5.png" id="266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262: Abaqus — mode 5, 38.695 Hz</w:t>
      </w:r>
    </w:p>
    <w:bookmarkEnd w:id="506"/>
    <w:bookmarkStart w:id="511" w:name="fig:fea_modes_compare_2_1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63: Sesam — mode 5, 38.415 Hz" title="" id="267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ses_shell_o1_stFalse/fea.mesh.mode_5.png" id="267" name="Picture"/>
                    <pic:cNvPicPr>
                      <a:picLocks noChangeArrowheads="1"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263: Sesam — mode 5, 38.415 Hz</w:t>
      </w:r>
    </w:p>
    <w:bookmarkEnd w:id="50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closed form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38.695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+0.73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59111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1.02e-28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1.84e-30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1.01e-14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-1.36e-15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2.256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38.415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2.42e-04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58259.8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1.78e-26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3.30e-27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1.33e-13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5.75e-14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2.236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Closed form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38.415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</w:tr>
    </w:tbl>
    <w:bookmarkEnd w:id="508"/>
    <w:bookmarkStart w:id="512" w:name="mode-6-14"/>
    <w:p>
      <w:pPr>
        <w:pStyle w:val="AppendixX3"/>
        <w:spacing w:before="40"/>
        <w:ind w:left="850"/>
      </w:pPr>
      <w:r>
        <w:t xml:space="preserve">Mode 6</w:t>
      </w:r>
    </w:p>
    <w:bookmarkStart w:id="513" w:name="fig:fea_modes_compare_2_1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64: Abaqus — mode 6, 55.900 Hz" title="" id="268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aba_shell_o1_stFalse/fea.mesh.mode_6.png" id="268" name="Picture"/>
                    <pic:cNvPicPr>
                      <a:picLocks noChangeArrowheads="1"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264: Abaqus — mode 6, 55.900 Hz</w:t>
      </w:r>
    </w:p>
    <w:bookmarkEnd w:id="509"/>
    <w:bookmarkStart w:id="514" w:name="fig:fea_modes_compare_2_1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65: Sesam — mode 6, 55.318 Hz" title="" id="269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ses_shell_o1_stFalse/fea.mesh.mode_6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265: Sesam — mode 6, 55.318 Hz</w:t>
      </w:r>
    </w:p>
    <w:bookmarkEnd w:id="51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closed form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55.900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+1.05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123361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4.94e-20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7.80e-26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3.09e-20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-2.22e-10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-2.79e-13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-1.76e-10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55.318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5.30e-04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120808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1.43e-17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2.77e-18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6.63e-16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3.78e-09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1.66e-09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-2.58e-08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Closed form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55.318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</w:tr>
    </w:tbl>
    <w:bookmarkEnd w:id="511"/>
    <w:bookmarkEnd w:id="512"/>
    <w:bookmarkStart w:id="515" w:name="shell-1st-order-stiffened"/>
    <w:p>
      <w:pPr>
        <w:pStyle w:val="AppendixX2"/>
        <w:spacing w:before="40"/>
        <w:ind w:left="850"/>
      </w:pPr>
      <w:r>
        <w:t xml:space="preserve">Shell, 1st order, stiffened</w:t>
      </w:r>
    </w:p>
    <w:bookmarkStart w:id="516" w:name="mode-1-15"/>
    <w:p>
      <w:pPr>
        <w:pStyle w:val="AppendixX3"/>
        <w:spacing w:before="40"/>
        <w:ind w:left="850"/>
      </w:pPr>
      <w:r>
        <w:t xml:space="preserve">Mode 1</w:t>
      </w:r>
    </w:p>
    <w:bookmarkStart w:id="517" w:name="fig:fea_modes_compare_2_1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66: Abaqus — mode 1, 21.242 Hz" title="" id="270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aba_shell_o1_stTrue/fea.mesh.png" id="270" name="Picture"/>
                    <pic:cNvPicPr>
                      <a:picLocks noChangeArrowheads="1"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266: Abaqus — mode 1, 21.242 Hz</w:t>
      </w:r>
    </w:p>
    <w:bookmarkEnd w:id="513"/>
    <w:bookmarkStart w:id="518" w:name="fig:fea_modes_compare_2_1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67: Sesam — mode 1, 18.917 Hz" title="" id="271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ses_shell_o1_stTrue/fea.mesh.png" id="271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267: Sesam — mode 1, 18.917 Hz</w:t>
      </w:r>
    </w:p>
    <w:bookmarkEnd w:id="51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21.242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+5.79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17813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9.45e-26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195.80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-0.214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-3.07e-13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13.993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18.917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-5.79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14127.2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2.29e-32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2.10e-37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195.94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-1.51e-16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-4.58e-19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13.998</w:t>
            </w:r>
          </w:p>
        </w:tc>
      </w:tr>
    </w:tbl>
    <w:bookmarkEnd w:id="515"/>
    <w:bookmarkStart w:id="519" w:name="mode-2-15"/>
    <w:p>
      <w:pPr>
        <w:pStyle w:val="AppendixX3"/>
        <w:spacing w:before="40"/>
        <w:ind w:left="850"/>
      </w:pPr>
      <w:r>
        <w:t xml:space="preserve">Mode 2</w:t>
      </w:r>
    </w:p>
    <w:bookmarkStart w:id="520" w:name="fig:fea_modes_compare_2_15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68: Abaqus — mode 2, 80.469 Hz" title="" id="272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aba_shell_o1_stTrue/fea.mesh.mode_2.png" id="272" name="Picture"/>
                    <pic:cNvPicPr>
                      <a:picLocks noChangeArrowheads="1"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268: Abaqus — mode 2, 80.469 Hz</w:t>
      </w:r>
    </w:p>
    <w:bookmarkEnd w:id="516"/>
    <w:bookmarkStart w:id="521" w:name="fig:fea_modes_compare_2_16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69: Sesam — mode 2, 70.063 Hz" title="" id="273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ses_shell_o1_stTrue/fea.mesh.mode_2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269: Sesam — mode 2, 70.063 Hz</w:t>
      </w:r>
    </w:p>
    <w:bookmarkEnd w:id="51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80.469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+6.91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255632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1.91e-25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3.42e-05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0.403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4.37e-13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0.006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70.063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-6.91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193794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4.69e-34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9.89e-36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8.76e-26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2.17e-17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3.14e-18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2.96e-13</w:t>
            </w:r>
          </w:p>
        </w:tc>
      </w:tr>
    </w:tbl>
    <w:bookmarkEnd w:id="518"/>
    <w:bookmarkStart w:id="522" w:name="mode-3-15"/>
    <w:p>
      <w:pPr>
        <w:pStyle w:val="AppendixX3"/>
        <w:spacing w:before="40"/>
        <w:ind w:left="850"/>
      </w:pPr>
      <w:r>
        <w:t xml:space="preserve">Mode 3</w:t>
      </w:r>
    </w:p>
    <w:bookmarkStart w:id="523" w:name="fig:fea_modes_compare_2_17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70: Abaqus — mode 3, 93.088 Hz" title="" id="274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aba_shell_o1_stTrue/fea.mesh.mode_3.png" id="274" name="Picture"/>
                    <pic:cNvPicPr>
                      <a:picLocks noChangeArrowheads="1"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270: Abaqus — mode 3, 93.088 Hz</w:t>
      </w:r>
    </w:p>
    <w:bookmarkEnd w:id="519"/>
    <w:bookmarkStart w:id="524" w:name="fig:fea_modes_compare_2_18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71: Sesam — mode 3, 92.575 Hz" title="" id="275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ses_shell_o1_stTrue/fea.mesh.mode_3.png" id="275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271: Sesam — mode 3, 92.575 Hz</w:t>
      </w:r>
    </w:p>
    <w:bookmarkEnd w:id="520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93.088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+0.28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342097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2.75e-24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1.03e-23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1.66e-12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1.988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3.22e-12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92.575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338332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5.73e-33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2.02e-07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3.30e-28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-7.57e-17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4.49e-04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1.82e-14</w:t>
            </w:r>
          </w:p>
        </w:tc>
      </w:tr>
    </w:tbl>
    <w:bookmarkEnd w:id="521"/>
    <w:bookmarkStart w:id="525" w:name="mode-4-15"/>
    <w:p>
      <w:pPr>
        <w:pStyle w:val="AppendixX3"/>
        <w:spacing w:before="40"/>
        <w:ind w:left="850"/>
      </w:pPr>
      <w:r>
        <w:t xml:space="preserve">Mode 4</w:t>
      </w:r>
    </w:p>
    <w:bookmarkStart w:id="526" w:name="fig:fea_modes_compare_2_19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72: Abaqus — mode 4, 106.618 Hz" title="" id="276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aba_shell_o1_stTrue/fea.mesh.mode_4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272: Abaqus — mode 4, 106.618 Hz</w:t>
      </w:r>
    </w:p>
    <w:bookmarkEnd w:id="522"/>
    <w:bookmarkStart w:id="527" w:name="fig:fea_modes_compare_2_20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73: Sesam — mode 4, 100.998 Hz" title="" id="277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ses_shell_o1_stTrue/fea.mesh.mode_4.png" id="277" name="Picture"/>
                    <pic:cNvPicPr>
                      <a:picLocks noChangeArrowheads="1"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273: Sesam — mode 4, 100.998 Hz</w:t>
      </w:r>
    </w:p>
    <w:bookmarkEnd w:id="523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106.620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+2.71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448765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1.14e-22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2.35e-08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5.91e-22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1.07e-11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1.53e-04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-2.43e-11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100.998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-2.71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402700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1.38e-29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1.02e-09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1.26e-26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-3.71e-15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3.19e-05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1.12e-13</w:t>
            </w:r>
          </w:p>
        </w:tc>
      </w:tr>
    </w:tbl>
    <w:bookmarkEnd w:id="524"/>
    <w:bookmarkStart w:id="528" w:name="mode-5-15"/>
    <w:p>
      <w:pPr>
        <w:pStyle w:val="AppendixX3"/>
        <w:spacing w:before="40"/>
        <w:ind w:left="850"/>
      </w:pPr>
      <w:r>
        <w:t xml:space="preserve">Mode 5</w:t>
      </w:r>
    </w:p>
    <w:bookmarkStart w:id="529" w:name="fig:fea_modes_compare_2_21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74: Abaqus — mode 5, 128.504 Hz" title="" id="278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aba_shell_o1_stTrue/fea.mesh.mode_5.png" id="278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274: Abaqus — mode 5, 128.504 Hz</w:t>
      </w:r>
    </w:p>
    <w:bookmarkEnd w:id="525"/>
    <w:bookmarkStart w:id="530" w:name="fig:fea_modes_compare_2_2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75: Sesam — mode 5, 115.222 Hz" title="" id="279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ses_shell_o1_stTrue/fea.mesh.mode_5.png" id="279" name="Picture"/>
                    <pic:cNvPicPr>
                      <a:picLocks noChangeArrowheads="1"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275: Sesam — mode 5, 115.222 Hz</w:t>
      </w:r>
    </w:p>
    <w:bookmarkEnd w:id="526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128.500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+5.45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651919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5.66e-20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0.39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1.44e-19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2.38e-10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-0.624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3.79e-10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115.222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-5.45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524118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4.47e-23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4.62e-07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1.89e-22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-6.69e-12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-0.001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1.37e-11</w:t>
            </w:r>
          </w:p>
        </w:tc>
      </w:tr>
    </w:tbl>
    <w:bookmarkEnd w:id="527"/>
    <w:bookmarkStart w:id="531" w:name="mode-6-15"/>
    <w:p>
      <w:pPr>
        <w:pStyle w:val="AppendixX3"/>
        <w:spacing w:before="40"/>
        <w:ind w:left="850"/>
      </w:pPr>
      <w:r>
        <w:t xml:space="preserve">Mode 6</w:t>
      </w:r>
    </w:p>
    <w:bookmarkStart w:id="532" w:name="fig:fea_modes_compare_2_2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76: Abaqus — mode 6, 155.525 Hz" title="" id="280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aba_shell_o1_stTrue/fea.mesh.mode_6.png" id="280" name="Picture"/>
                    <pic:cNvPicPr>
                      <a:picLocks noChangeArrowheads="1"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276: Abaqus — mode 6, 155.525 Hz</w:t>
      </w:r>
    </w:p>
    <w:bookmarkEnd w:id="528"/>
    <w:bookmarkStart w:id="533" w:name="fig:fea_modes_compare_2_2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77: Sesam — mode 6, 134.344 Hz" title="" id="281" name="Picture"/>
            <a:graphic>
              <a:graphicData uri="http://schemas.openxmlformats.org/drawingml/2006/picture">
                <pic:pic>
                  <pic:nvPicPr>
                    <pic:cNvPr descr="../../../../verification/_assets/plate/plate_EIG_ses_shell_o1_stTrue/fea.mesh.mode_6.png" id="281" name="Picture"/>
                    <pic:cNvPicPr>
                      <a:picLocks noChangeArrowheads="1"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277: Sesam — mode 6, 134.344 Hz</w:t>
      </w:r>
    </w:p>
    <w:bookmarkEnd w:id="529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f [Hz]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Δf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λ [rad²/s²]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X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Y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Meff Z [kg]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X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Y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Γ Z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155.520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+7.31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954899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0.26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3.11e-16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0.507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1.76e-08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-4.492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134.344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-7.31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712516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3.13e-16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2.60e-18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20.78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-1.77e-08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1.61e-09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4.558</w:t>
            </w:r>
          </w:p>
        </w:tc>
      </w:tr>
    </w:tbl>
    <w:bookmarkEnd w:id="530"/>
    <w:bookmarkEnd w:id="531"/>
    <w:bookmarkEnd w:id="532"/>
    <w:bookmarkStart w:id="534" w:name="plate-static-analysis"/>
    <w:p>
      <w:pPr>
        <w:pStyle w:val="AppendixX1"/>
        <w:spacing w:before="40"/>
        <w:ind w:left="850"/>
      </w:pPr>
      <w:r>
        <w:t xml:space="preserve">Plate static analysis</w:t>
      </w:r>
    </w:p>
    <w:p>
      <w:pPr>
        <w:pStyle w:val="NormalIndent"/>
        <w:spacing w:before="40"/>
        <w:ind w:left="850"/>
      </w:pPr>
      <w:r>
        <w:t xml:space="preserve">The deflected strip under 1 kPa, plain and stiffened, at the same 0.0625 m seed. The other seeds deform into the same shape; their convergence is in the summary table.</w:t>
      </w:r>
    </w:p>
    <w:bookmarkStart w:id="535" w:name="shell-1st-order-plain-seed-0.0625-m"/>
    <w:p>
      <w:pPr>
        <w:pStyle w:val="AppendixX2"/>
        <w:spacing w:before="40"/>
        <w:ind w:left="850"/>
      </w:pPr>
      <w:r>
        <w:t xml:space="preserve">Shell, 1st order, plain, seed 0.0625 m</w:t>
      </w:r>
    </w:p>
    <w:bookmarkStart w:id="536" w:name="fig:fea_modes_compare_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78: Abaqus — displacement" title="" id="282" name="Picture"/>
            <a:graphic>
              <a:graphicData uri="http://schemas.openxmlformats.org/drawingml/2006/picture">
                <pic:pic>
                  <pic:nvPicPr>
                    <pic:cNvPr descr="../../../../verification/_assets/plate/plate_static_aba_shell_o1_stFalse_h0p0625/fea.mesh.png" id="282" name="Picture"/>
                    <pic:cNvPicPr>
                      <a:picLocks noChangeArrowheads="1"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278: Abaqus — displacement</w:t>
      </w:r>
    </w:p>
    <w:bookmarkEnd w:id="533"/>
    <w:bookmarkStart w:id="537" w:name="fig:fea_modes_compare_3_2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79: Sesam — displacement" title="" id="283" name="Picture"/>
            <a:graphic>
              <a:graphicData uri="http://schemas.openxmlformats.org/drawingml/2006/picture">
                <pic:pic>
                  <pic:nvPicPr>
                    <pic:cNvPr descr="../../../../verification/_assets/plate/plate_static_ses_shell_o1_stFalse_h0p0625/fea.mesh.png" id="283" name="Picture"/>
                    <pic:cNvPicPr>
                      <a:picLocks noChangeArrowheads="1"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279: Sesam — displacement</w:t>
      </w:r>
    </w:p>
    <w:bookmarkEnd w:id="534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Mid-span u_z [mm]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 vs closed form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Peak u_z [mm]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Peak u_x [mm]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Peak u_y [mm]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173.2686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173.2686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5.59e-17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4.12e-29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173.2995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-0.02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173.2995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0.0000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0.0000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Closed form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173.3333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  <w:tc>
          <w:tcPr>
            <w:vAlign w:val="center"/>
          </w:tcPr>
          <w:p>
            <w:pPr>
              <w:pStyle w:val="Compact"/>
              <w:jc w:val="right"/>
            </w:pPr>
          </w:p>
        </w:tc>
      </w:tr>
    </w:tbl>
    <w:bookmarkEnd w:id="535"/>
    <w:bookmarkStart w:id="538" w:name="shell-1st-order-stiffened-seed-0.0625-m"/>
    <w:p>
      <w:pPr>
        <w:pStyle w:val="AppendixX2"/>
        <w:spacing w:before="40"/>
        <w:ind w:left="850"/>
      </w:pPr>
      <w:r>
        <w:t xml:space="preserve">Shell, 1st order, stiffened, seed 0.0625 m</w:t>
      </w:r>
    </w:p>
    <w:bookmarkStart w:id="539" w:name="fig:fea_modes_compare_3_3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80: Abaqus — displacement" title="" id="284" name="Picture"/>
            <a:graphic>
              <a:graphicData uri="http://schemas.openxmlformats.org/drawingml/2006/picture">
                <pic:pic>
                  <pic:nvPicPr>
                    <pic:cNvPr descr="../../../../verification/_assets/plate/plate_static_aba_shell_o1_stTrue_h0p0625/fea.mesh.png" id="284" name="Picture"/>
                    <pic:cNvPicPr>
                      <a:picLocks noChangeArrowheads="1"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280: Abaqus — displacement</w:t>
      </w:r>
    </w:p>
    <w:bookmarkEnd w:id="536"/>
    <w:bookmarkStart w:id="540" w:name="fig:fea_modes_compare_3_4"/>
    <w:p xmlns:a="http://schemas.openxmlformats.org/drawingml/2006/main" xmlns:pic="http://schemas.openxmlformats.org/drawingml/2006/picture">
      <w:pPr>
        <w:pStyle w:val="CaptionedFigure"/>
      </w:pPr>
      <w:r>
        <w:drawing>
          <wp:inline>
            <wp:extent cx="5334000" cy="4000500"/>
            <wp:effectExtent b="0" l="0" r="0" t="0"/>
            <wp:docPr descr="Figure 281: Sesam — displacement" title="" id="285" name="Picture"/>
            <a:graphic>
              <a:graphicData uri="http://schemas.openxmlformats.org/drawingml/2006/picture">
                <pic:pic>
                  <pic:nvPicPr>
                    <pic:cNvPr descr="../../../../verification/_assets/plate/plate_static_ses_shell_o1_stTrue_h0p0625/fea.mesh.png" id="285" name="Picture"/>
                    <pic:cNvPicPr>
                      <a:picLocks noChangeArrowheads="1"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281: Sesam — displacement</w:t>
      </w:r>
    </w:p>
    <w:bookmarkEnd w:id="537"/>
    <w:tbl>
      <w:tblPr>
        <w:tblStyle w:val="GridTable1Light"/>
        <w:tblW w:type="pct" w:w="5000"/>
        <w:jc w:val="center"/>
        <w:tblLayout w:type="autofit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Solver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Mid-span u_z [mm]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Δ vs mean [%]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Peak u_z [mm]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Peak u_x [mm]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/>
                <w:sz w:val="22"/>
              </w:rPr>
              <w:t xml:space="preserve">Peak u_y [mm]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Abaqus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0.5855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-11.59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0.5934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0.0118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2.12e-05</w:t>
            </w:r>
          </w:p>
        </w:tc>
      </w:tr>
      <w:tr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Sesam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0.7390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+11.59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0.7474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1.25e-17</w:t>
            </w:r>
          </w:p>
        </w:tc>
        <w:tc>
          <w:tcPr>
            <w:vAlign w:val="center"/>
          </w:tcPr>
          <w:p>
            <w:pPr>
              <w:pStyle w:val="Compact"/>
              <w:jc w:val="right"/>
            </w:pPr>
            <w:r>
              <w:rPr>
                <w:rFonts w:ascii="Arial" w:hAnsi="Arial"/>
                <w:b w:val="0"/>
                <w:sz w:val="22"/>
              </w:rPr>
              <w:t xml:space="preserve">2.34e-17</w:t>
            </w:r>
          </w:p>
        </w:tc>
      </w:tr>
    </w:tbl>
    <w:bookmarkEnd w:id="538"/>
    <w:bookmarkEnd w:id="539"/>
    <w:bookmarkEnd w:id="540"/>
    <w:p>
      <w:r>
        <w:br w:type="page"/>
      </w:r>
    </w:p>
    <w:sectPr w:rsidR="00C8668B" w:rsidRPr="009B3B4C" w:rsidSect="00316950">
      <w:footerReference w:type="default" r:id="rId7"/>
      <w:pgSz w:w="11913" w:h="16834" w:code="9"/>
      <w:pgMar w:top="851" w:right="851" w:bottom="851" w:left="1134" w:header="720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CD3018" w14:textId="77777777" w:rsidR="00912827" w:rsidRDefault="00912827">
      <w:r>
        <w:separator/>
      </w:r>
    </w:p>
  </w:endnote>
  <w:endnote w:type="continuationSeparator" w:id="0">
    <w:p w14:paraId="22CC028C" w14:textId="77777777" w:rsidR="00912827" w:rsidRDefault="00912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0A7BE4" w14:textId="541FF6C3" w:rsidR="00D35C7C" w:rsidRDefault="00D35C7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94A70FA" wp14:editId="3BA3D7FA">
              <wp:simplePos x="0" y="0"/>
              <wp:positionH relativeFrom="page">
                <wp:posOffset>0</wp:posOffset>
              </wp:positionH>
              <wp:positionV relativeFrom="page">
                <wp:posOffset>10225405</wp:posOffset>
              </wp:positionV>
              <wp:extent cx="7564755" cy="273050"/>
              <wp:effectExtent l="0" t="0" r="0" b="12700"/>
              <wp:wrapNone/>
              <wp:docPr id="286" name="MSIPCMccfa4e8bb79ae574475b26c3" descr="{&quot;HashCode&quot;:269651335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475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763230E" w14:textId="71C7DB89" w:rsidR="00D35C7C" w:rsidRPr="00D35C7C" w:rsidRDefault="00D35C7C" w:rsidP="00D35C7C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D35C7C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Sensitivity: 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4A70FA" id="_x0000_t202" coordsize="21600,21600" o:spt="202" path="m,l,21600r21600,l21600,xe">
              <v:stroke joinstyle="miter"/>
              <v:path gradientshapeok="t" o:connecttype="rect"/>
            </v:shapetype>
            <v:shape id="MSIPCMccfa4e8bb79ae574475b26c3" o:spid="_x0000_s1026" type="#_x0000_t202" alt="{&quot;HashCode&quot;:269651335,&quot;Height&quot;:841.0,&quot;Width&quot;:595.0,&quot;Placement&quot;:&quot;Footer&quot;,&quot;Index&quot;:&quot;Primary&quot;,&quot;Section&quot;:1,&quot;Top&quot;:0.0,&quot;Left&quot;:0.0}" style="position:absolute;margin-left:0;margin-top:805.15pt;width:595.6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" o:allowincell="f" filled="f" stroked="f" strokeweight=".5pt">
              <v:textbox inset="20pt,0,,0">
                <w:txbxContent>
                  <w:p w14:paraId="2763230E" w14:textId="71C7DB89" w:rsidR="00D35C7C" w:rsidRPr="00D35C7C" w:rsidRDefault="00D35C7C" w:rsidP="00D35C7C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D35C7C">
                      <w:rPr>
                        <w:rFonts w:ascii="Calibri" w:hAnsi="Calibri" w:cs="Calibri"/>
                        <w:color w:val="000000"/>
                        <w:sz w:val="20"/>
                      </w:rPr>
                      <w:t>Sensitivity: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EFB8D8" w14:textId="77777777" w:rsidR="00912827" w:rsidRDefault="00912827">
      <w:r>
        <w:separator/>
      </w:r>
    </w:p>
  </w:footnote>
  <w:footnote w:type="continuationSeparator" w:id="0">
    <w:p w14:paraId="74F45A40" w14:textId="77777777" w:rsidR="00912827" w:rsidRDefault="00912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641B0"/>
    <w:multiLevelType w:val="hybridMultilevel"/>
    <w:tmpl w:val="8E98F58E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B4151C5"/>
    <w:multiLevelType w:val="hybridMultilevel"/>
    <w:tmpl w:val="E4CCFEC0"/>
    <w:lvl w:ilvl="0" w:tplc="1F960480"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232C09DE"/>
    <w:multiLevelType w:val="singleLevel"/>
    <w:tmpl w:val="5876FFB6"/>
    <w:lvl w:ilvl="0">
      <w:start w:val="1"/>
      <w:numFmt w:val="bullet"/>
      <w:pStyle w:val="Bulleted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B576DE9"/>
    <w:multiLevelType w:val="hybridMultilevel"/>
    <w:tmpl w:val="BB621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736FE2"/>
    <w:multiLevelType w:val="hybridMultilevel"/>
    <w:tmpl w:val="8E04C9D8"/>
    <w:lvl w:ilvl="0" w:tplc="136EBC1E">
      <w:start w:val="1"/>
      <w:numFmt w:val="decimal"/>
      <w:pStyle w:val="Reference"/>
      <w:lvlText w:val="[%1]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69"/>
        </w:tabs>
        <w:ind w:left="166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89"/>
        </w:tabs>
        <w:ind w:left="238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9"/>
        </w:tabs>
        <w:ind w:left="310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9"/>
        </w:tabs>
        <w:ind w:left="382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9"/>
        </w:tabs>
        <w:ind w:left="454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9"/>
        </w:tabs>
        <w:ind w:left="526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9"/>
        </w:tabs>
        <w:ind w:left="598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9"/>
        </w:tabs>
        <w:ind w:left="6709" w:hanging="180"/>
      </w:pPr>
    </w:lvl>
  </w:abstractNum>
  <w:abstractNum w:abstractNumId="5" w15:restartNumberingAfterBreak="0">
    <w:nsid w:val="467247D2"/>
    <w:multiLevelType w:val="hybridMultilevel"/>
    <w:tmpl w:val="1E8AEAC2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6835BA9"/>
    <w:multiLevelType w:val="hybridMultilevel"/>
    <w:tmpl w:val="5C8CE2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C006D5"/>
    <w:multiLevelType w:val="singleLevel"/>
    <w:tmpl w:val="3370C612"/>
    <w:lvl w:ilvl="0">
      <w:start w:val="1"/>
      <w:numFmt w:val="decimal"/>
      <w:pStyle w:val="Numberedli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F814E35"/>
    <w:multiLevelType w:val="multilevel"/>
    <w:tmpl w:val="329009D4"/>
    <w:lvl w:ilvl="0">
      <w:start w:val="1"/>
      <w:numFmt w:val="decimal"/>
      <w:pStyle w:val="Heading1"/>
      <w:lvlText w:val="%1"/>
      <w:lvlJc w:val="left"/>
      <w:pPr>
        <w:tabs>
          <w:tab w:val="num" w:pos="3345"/>
        </w:tabs>
        <w:ind w:left="3345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3489"/>
        </w:tabs>
        <w:ind w:left="3489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3633"/>
        </w:tabs>
        <w:ind w:left="3633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3777"/>
        </w:tabs>
        <w:ind w:left="3777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3921"/>
        </w:tabs>
        <w:ind w:left="3921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065"/>
        </w:tabs>
        <w:ind w:left="4065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209"/>
        </w:tabs>
        <w:ind w:left="4209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53"/>
        </w:tabs>
        <w:ind w:left="4353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497"/>
        </w:tabs>
        <w:ind w:left="4497" w:hanging="1584"/>
      </w:pPr>
      <w:rPr>
        <w:rFonts w:hint="default"/>
      </w:rPr>
    </w:lvl>
  </w:abstractNum>
  <w:abstractNum w:abstractNumId="9" w15:restartNumberingAfterBreak="0">
    <w:nsid w:val="6083475D"/>
    <w:multiLevelType w:val="hybridMultilevel"/>
    <w:tmpl w:val="CD3ABA14"/>
    <w:lvl w:ilvl="0" w:tplc="F91AFD66"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 w15:restartNumberingAfterBreak="0">
    <w:nsid w:val="64111D4D"/>
    <w:multiLevelType w:val="multilevel"/>
    <w:tmpl w:val="DF5EDBBC"/>
    <w:lvl w:ilvl="0">
      <w:start w:val="1"/>
      <w:numFmt w:val="upperLetter"/>
      <w:pStyle w:val="Appendix"/>
      <w:lvlText w:val="Appendix %1"/>
      <w:lvlJc w:val="left"/>
      <w:pPr>
        <w:ind w:left="907" w:hanging="907"/>
      </w:pPr>
      <w:rPr>
        <w:rFonts w:ascii="Arial" w:hAnsi="Arial" w:hint="default"/>
        <w:b/>
        <w:sz w:val="28"/>
      </w:rPr>
    </w:lvl>
    <w:lvl w:ilvl="1">
      <w:start w:val="1"/>
      <w:numFmt w:val="decimal"/>
      <w:pStyle w:val="AppendixX1"/>
      <w:lvlText w:val="%1.%2"/>
      <w:lvlJc w:val="left"/>
      <w:pPr>
        <w:ind w:left="907" w:hanging="907"/>
      </w:pPr>
      <w:rPr>
        <w:rFonts w:ascii="Arial" w:hAnsi="Arial" w:hint="default"/>
        <w:b/>
        <w:sz w:val="28"/>
      </w:rPr>
    </w:lvl>
    <w:lvl w:ilvl="2">
      <w:start w:val="1"/>
      <w:numFmt w:val="decimal"/>
      <w:pStyle w:val="AppendixX2"/>
      <w:lvlText w:val="%1.%2.%3"/>
      <w:lvlJc w:val="left"/>
      <w:pPr>
        <w:ind w:left="907" w:hanging="907"/>
      </w:pPr>
      <w:rPr>
        <w:rFonts w:ascii="Arial" w:hAnsi="Arial" w:hint="default"/>
        <w:b/>
        <w:color w:val="auto"/>
        <w:sz w:val="24"/>
      </w:rPr>
    </w:lvl>
    <w:lvl w:ilvl="3">
      <w:start w:val="1"/>
      <w:numFmt w:val="decimal"/>
      <w:lvlRestart w:val="0"/>
      <w:pStyle w:val="AppendixX3"/>
      <w:lvlText w:val="%1.%2.%3.%4"/>
      <w:lvlJc w:val="left"/>
      <w:pPr>
        <w:ind w:left="907" w:hanging="90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."/>
      <w:lvlJc w:val="left"/>
      <w:pPr>
        <w:ind w:left="907" w:hanging="90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907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07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07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7" w:hanging="907"/>
      </w:pPr>
      <w:rPr>
        <w:rFonts w:hint="default"/>
      </w:rPr>
    </w:lvl>
  </w:abstractNum>
  <w:abstractNum w:abstractNumId="11" w15:restartNumberingAfterBreak="0">
    <w:nsid w:val="65497684"/>
    <w:multiLevelType w:val="multilevel"/>
    <w:tmpl w:val="DE8C2C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2">
    <w:nsid w:val="043EF9FE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03DC9C9A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001BAFA4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4"/>
  </w:num>
  <w:num w:numId="5">
    <w:abstractNumId w:val="11"/>
  </w:num>
  <w:num w:numId="6">
    <w:abstractNumId w:val="3"/>
  </w:num>
  <w:num w:numId="7">
    <w:abstractNumId w:val="9"/>
  </w:num>
  <w:num w:numId="8">
    <w:abstractNumId w:val="1"/>
  </w:num>
  <w:num w:numId="9">
    <w:abstractNumId w:val="10"/>
  </w:num>
  <w:num w:numId="10">
    <w:abstractNumId w:val="6"/>
  </w:num>
  <w:num w:numId="11">
    <w:abstractNumId w:val="0"/>
  </w:num>
  <w:num w:numId="13">
    <w:abstractNumId w:val="12"/>
  </w:num>
  <w:num w:numId="14">
    <w:abstractNumId w:val="12"/>
  </w:num>
  <w:num w:numId="15">
    <w:abstractNumId w:val="13"/>
  </w:num>
  <w:num w:numId="16">
    <w:abstractNumId w:val="13"/>
  </w:num>
  <w:num w:numId="17">
    <w:abstractNumId w:val="13"/>
  </w:num>
  <w:num w:numId="18">
    <w:abstractNumId w:val="14"/>
  </w:num>
  <w:num w:numId="19">
    <w:abstractNumId w:val="10"/>
    <w:lvlOverride w:ilvl="0">
      <w:startOverride w:val="1"/>
    </w:lvlOverride>
  </w:num>
  <w:num w:numId="20">
    <w:abstractNumId w:val="10"/>
    <w:lvlOverride w:ilvl="0">
      <w:startOverride w:val="1"/>
    </w:lvlOverride>
  </w:num>
  <w:num w:numId="21">
    <w:abstractNumId w:val="10"/>
    <w:lvlOverride w:ilvl="0">
      <w:startOverride w:val="1"/>
    </w:lvlOverride>
  </w:num>
  <w:num w:numId="22">
    <w:abstractNumId w:val="10"/>
    <w:lvlOverride w:ilvl="0">
      <w:startOverride w:val="1"/>
    </w:lvlOverride>
  </w:num>
  <w:num w:numId="12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intFractionalCharacterWidth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8" w:dllVersion="513" w:checkStyle="1"/>
  <w:activeWritingStyle w:appName="MSWord" w:lang="fr-FR" w:vendorID="9" w:dllVersion="512" w:checkStyle="1"/>
  <w:activeWritingStyle w:appName="MSWord" w:lang="nb-NO" w:vendorID="22" w:dllVersion="513" w:checkStyle="1"/>
  <w:activeWritingStyle w:appName="MSWord" w:lang="sv-SE" w:vendorID="22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updateFields w:val="true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8D6"/>
    <w:rsid w:val="0000201F"/>
    <w:rsid w:val="00020EC8"/>
    <w:rsid w:val="000227B9"/>
    <w:rsid w:val="00031697"/>
    <w:rsid w:val="00033D3F"/>
    <w:rsid w:val="00040A3A"/>
    <w:rsid w:val="00057312"/>
    <w:rsid w:val="0006489A"/>
    <w:rsid w:val="000867B9"/>
    <w:rsid w:val="00094424"/>
    <w:rsid w:val="000A01C5"/>
    <w:rsid w:val="000A10CF"/>
    <w:rsid w:val="000B0286"/>
    <w:rsid w:val="000B05AF"/>
    <w:rsid w:val="000E0CA7"/>
    <w:rsid w:val="00107083"/>
    <w:rsid w:val="001118D6"/>
    <w:rsid w:val="00121AB5"/>
    <w:rsid w:val="001241EF"/>
    <w:rsid w:val="001344A9"/>
    <w:rsid w:val="0013687A"/>
    <w:rsid w:val="0014150E"/>
    <w:rsid w:val="001505FB"/>
    <w:rsid w:val="00153ED6"/>
    <w:rsid w:val="001632D3"/>
    <w:rsid w:val="001659A8"/>
    <w:rsid w:val="00176D2B"/>
    <w:rsid w:val="00195EF4"/>
    <w:rsid w:val="001A0C57"/>
    <w:rsid w:val="001A36D8"/>
    <w:rsid w:val="001C2412"/>
    <w:rsid w:val="0021169A"/>
    <w:rsid w:val="00215A21"/>
    <w:rsid w:val="00227650"/>
    <w:rsid w:val="00237A82"/>
    <w:rsid w:val="002403FE"/>
    <w:rsid w:val="00246CE2"/>
    <w:rsid w:val="00254E66"/>
    <w:rsid w:val="00261B1F"/>
    <w:rsid w:val="002663C6"/>
    <w:rsid w:val="002772DB"/>
    <w:rsid w:val="00293B48"/>
    <w:rsid w:val="00294DC6"/>
    <w:rsid w:val="002A1B45"/>
    <w:rsid w:val="002B2278"/>
    <w:rsid w:val="002B2E53"/>
    <w:rsid w:val="002B4674"/>
    <w:rsid w:val="002B6C1B"/>
    <w:rsid w:val="002C0AE3"/>
    <w:rsid w:val="002C0DE8"/>
    <w:rsid w:val="002C5AAE"/>
    <w:rsid w:val="002E0D01"/>
    <w:rsid w:val="002F1F7F"/>
    <w:rsid w:val="002F400B"/>
    <w:rsid w:val="00305D74"/>
    <w:rsid w:val="00316950"/>
    <w:rsid w:val="003245C7"/>
    <w:rsid w:val="003825AF"/>
    <w:rsid w:val="00382BA5"/>
    <w:rsid w:val="0039606D"/>
    <w:rsid w:val="003A5C7A"/>
    <w:rsid w:val="003B2602"/>
    <w:rsid w:val="003C2979"/>
    <w:rsid w:val="003C3CDB"/>
    <w:rsid w:val="003E310C"/>
    <w:rsid w:val="003F68DB"/>
    <w:rsid w:val="00411ED9"/>
    <w:rsid w:val="004163B0"/>
    <w:rsid w:val="00432AB5"/>
    <w:rsid w:val="0045193A"/>
    <w:rsid w:val="00464711"/>
    <w:rsid w:val="0046661D"/>
    <w:rsid w:val="00467112"/>
    <w:rsid w:val="00475072"/>
    <w:rsid w:val="004C289E"/>
    <w:rsid w:val="004C76EC"/>
    <w:rsid w:val="00505400"/>
    <w:rsid w:val="00532775"/>
    <w:rsid w:val="0054024B"/>
    <w:rsid w:val="005402F2"/>
    <w:rsid w:val="005428C8"/>
    <w:rsid w:val="005578C5"/>
    <w:rsid w:val="00584F9F"/>
    <w:rsid w:val="0058640A"/>
    <w:rsid w:val="005A22CA"/>
    <w:rsid w:val="005A32D4"/>
    <w:rsid w:val="005B28D1"/>
    <w:rsid w:val="005D5C8D"/>
    <w:rsid w:val="005E47FF"/>
    <w:rsid w:val="005E4F32"/>
    <w:rsid w:val="005E65E1"/>
    <w:rsid w:val="005E7861"/>
    <w:rsid w:val="005F0BEC"/>
    <w:rsid w:val="00626D06"/>
    <w:rsid w:val="0064451C"/>
    <w:rsid w:val="00662AFC"/>
    <w:rsid w:val="0068185E"/>
    <w:rsid w:val="006922D0"/>
    <w:rsid w:val="006A524F"/>
    <w:rsid w:val="006E3494"/>
    <w:rsid w:val="006F526F"/>
    <w:rsid w:val="00702BD4"/>
    <w:rsid w:val="00710477"/>
    <w:rsid w:val="007165E0"/>
    <w:rsid w:val="00742E29"/>
    <w:rsid w:val="007B6D7E"/>
    <w:rsid w:val="007D39B5"/>
    <w:rsid w:val="007F2030"/>
    <w:rsid w:val="0080192E"/>
    <w:rsid w:val="008074E4"/>
    <w:rsid w:val="008078C7"/>
    <w:rsid w:val="00812B5C"/>
    <w:rsid w:val="0084550E"/>
    <w:rsid w:val="00867C33"/>
    <w:rsid w:val="008738AE"/>
    <w:rsid w:val="00880DCC"/>
    <w:rsid w:val="008900D7"/>
    <w:rsid w:val="008C20EA"/>
    <w:rsid w:val="008D0CA3"/>
    <w:rsid w:val="008E027B"/>
    <w:rsid w:val="008E0953"/>
    <w:rsid w:val="008E4DDB"/>
    <w:rsid w:val="008E5A26"/>
    <w:rsid w:val="008E5E68"/>
    <w:rsid w:val="008E6AFF"/>
    <w:rsid w:val="0090323B"/>
    <w:rsid w:val="00912827"/>
    <w:rsid w:val="00914F08"/>
    <w:rsid w:val="009170E3"/>
    <w:rsid w:val="00946254"/>
    <w:rsid w:val="0096116D"/>
    <w:rsid w:val="009621C0"/>
    <w:rsid w:val="00977237"/>
    <w:rsid w:val="009B3B4C"/>
    <w:rsid w:val="009C0387"/>
    <w:rsid w:val="009C107A"/>
    <w:rsid w:val="009C3F75"/>
    <w:rsid w:val="00A05FBE"/>
    <w:rsid w:val="00A10C4B"/>
    <w:rsid w:val="00A14484"/>
    <w:rsid w:val="00A309BD"/>
    <w:rsid w:val="00A312A6"/>
    <w:rsid w:val="00A32B63"/>
    <w:rsid w:val="00A330E0"/>
    <w:rsid w:val="00A373CA"/>
    <w:rsid w:val="00A44CE4"/>
    <w:rsid w:val="00A454A1"/>
    <w:rsid w:val="00A57A47"/>
    <w:rsid w:val="00A711D5"/>
    <w:rsid w:val="00A82D29"/>
    <w:rsid w:val="00A85550"/>
    <w:rsid w:val="00A9088F"/>
    <w:rsid w:val="00AA128F"/>
    <w:rsid w:val="00AC2D2A"/>
    <w:rsid w:val="00AC50E2"/>
    <w:rsid w:val="00AD4131"/>
    <w:rsid w:val="00AD5EBC"/>
    <w:rsid w:val="00AD6D9F"/>
    <w:rsid w:val="00AE64A4"/>
    <w:rsid w:val="00AF1D89"/>
    <w:rsid w:val="00B00A86"/>
    <w:rsid w:val="00B32748"/>
    <w:rsid w:val="00B412A8"/>
    <w:rsid w:val="00B51231"/>
    <w:rsid w:val="00B64AD7"/>
    <w:rsid w:val="00B64CA8"/>
    <w:rsid w:val="00B6731E"/>
    <w:rsid w:val="00B9259F"/>
    <w:rsid w:val="00B97EF4"/>
    <w:rsid w:val="00BA137E"/>
    <w:rsid w:val="00BB438C"/>
    <w:rsid w:val="00BC4826"/>
    <w:rsid w:val="00C042CD"/>
    <w:rsid w:val="00C2285C"/>
    <w:rsid w:val="00C273D0"/>
    <w:rsid w:val="00C369A6"/>
    <w:rsid w:val="00C670E9"/>
    <w:rsid w:val="00C8668B"/>
    <w:rsid w:val="00C96358"/>
    <w:rsid w:val="00CA0716"/>
    <w:rsid w:val="00CE4D47"/>
    <w:rsid w:val="00CE4DB7"/>
    <w:rsid w:val="00CE70C2"/>
    <w:rsid w:val="00D12285"/>
    <w:rsid w:val="00D35C7C"/>
    <w:rsid w:val="00D35CA1"/>
    <w:rsid w:val="00D56FF6"/>
    <w:rsid w:val="00D65F71"/>
    <w:rsid w:val="00D72210"/>
    <w:rsid w:val="00D774BE"/>
    <w:rsid w:val="00D84EE1"/>
    <w:rsid w:val="00DA6C7C"/>
    <w:rsid w:val="00DB1A00"/>
    <w:rsid w:val="00DB4880"/>
    <w:rsid w:val="00DB6A05"/>
    <w:rsid w:val="00DC2F98"/>
    <w:rsid w:val="00DC673C"/>
    <w:rsid w:val="00DD4C6A"/>
    <w:rsid w:val="00E10F56"/>
    <w:rsid w:val="00E13760"/>
    <w:rsid w:val="00E14386"/>
    <w:rsid w:val="00E331F4"/>
    <w:rsid w:val="00E43B90"/>
    <w:rsid w:val="00E53A1B"/>
    <w:rsid w:val="00E54D96"/>
    <w:rsid w:val="00E75359"/>
    <w:rsid w:val="00E758EA"/>
    <w:rsid w:val="00E836EE"/>
    <w:rsid w:val="00E84A8B"/>
    <w:rsid w:val="00EA2BE2"/>
    <w:rsid w:val="00EB19E8"/>
    <w:rsid w:val="00EC3BAF"/>
    <w:rsid w:val="00EC4AE4"/>
    <w:rsid w:val="00EE415D"/>
    <w:rsid w:val="00F025CE"/>
    <w:rsid w:val="00F05AA1"/>
    <w:rsid w:val="00F11875"/>
    <w:rsid w:val="00F32EE6"/>
    <w:rsid w:val="00F42B3F"/>
    <w:rsid w:val="00F97E47"/>
    <w:rsid w:val="00F97F93"/>
    <w:rsid w:val="00FC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048B8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iPriority="99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aliases w:val="X.,headmain"/>
    <w:basedOn w:val="Normal"/>
    <w:next w:val="NormalIndent"/>
    <w:link w:val="Heading1Char"/>
    <w:qFormat/>
    <w:rsid w:val="002772DB"/>
    <w:pPr>
      <w:keepNext/>
      <w:numPr>
        <w:numId w:val="2"/>
      </w:numPr>
      <w:tabs>
        <w:tab w:val="num" w:pos="851"/>
      </w:tabs>
      <w:spacing w:before="120" w:after="200"/>
      <w:ind w:left="851" w:hanging="851"/>
      <w:outlineLvl w:val="0"/>
    </w:pPr>
    <w:rPr>
      <w:b/>
      <w:caps/>
      <w:sz w:val="28"/>
    </w:rPr>
  </w:style>
  <w:style w:type="paragraph" w:styleId="Heading2">
    <w:name w:val="heading 2"/>
    <w:basedOn w:val="Normal"/>
    <w:next w:val="NormalIndent"/>
    <w:link w:val="Heading2Char"/>
    <w:qFormat/>
    <w:rsid w:val="002772DB"/>
    <w:pPr>
      <w:keepNext/>
      <w:keepLines/>
      <w:numPr>
        <w:ilvl w:val="1"/>
        <w:numId w:val="2"/>
      </w:numPr>
      <w:tabs>
        <w:tab w:val="num" w:pos="851"/>
      </w:tabs>
      <w:spacing w:before="200" w:after="120"/>
      <w:ind w:left="1786" w:hanging="1786"/>
      <w:outlineLvl w:val="1"/>
    </w:pPr>
    <w:rPr>
      <w:b/>
      <w:snapToGrid w:val="0"/>
      <w:sz w:val="24"/>
    </w:rPr>
  </w:style>
  <w:style w:type="paragraph" w:styleId="Heading3">
    <w:name w:val="heading 3"/>
    <w:aliases w:val="Heading 3DBM,Heading 3DBM1,Section,X.X.X,DNV-H3"/>
    <w:basedOn w:val="Normal"/>
    <w:next w:val="NormalIndent"/>
    <w:link w:val="Heading3Char"/>
    <w:qFormat/>
    <w:rsid w:val="002772DB"/>
    <w:pPr>
      <w:keepNext/>
      <w:numPr>
        <w:ilvl w:val="2"/>
        <w:numId w:val="2"/>
      </w:numPr>
      <w:tabs>
        <w:tab w:val="num" w:pos="851"/>
      </w:tabs>
      <w:spacing w:before="200" w:after="120"/>
      <w:ind w:left="1934" w:hanging="1934"/>
      <w:outlineLvl w:val="2"/>
    </w:pPr>
    <w:rPr>
      <w:b/>
    </w:rPr>
  </w:style>
  <w:style w:type="paragraph" w:styleId="Heading4">
    <w:name w:val="heading 4"/>
    <w:aliases w:val="Heading 4DBM"/>
    <w:basedOn w:val="Normal"/>
    <w:next w:val="NormalIndent"/>
    <w:link w:val="Heading4Char"/>
    <w:qFormat/>
    <w:pPr>
      <w:keepNext/>
      <w:keepLines/>
      <w:numPr>
        <w:ilvl w:val="3"/>
        <w:numId w:val="2"/>
      </w:numPr>
      <w:tabs>
        <w:tab w:val="num" w:pos="851"/>
      </w:tabs>
      <w:spacing w:before="180" w:after="60"/>
      <w:ind w:hanging="2075"/>
      <w:outlineLvl w:val="3"/>
    </w:pPr>
    <w:rPr>
      <w:b/>
    </w:rPr>
  </w:style>
  <w:style w:type="paragraph" w:styleId="Heading5">
    <w:name w:val="heading 5"/>
    <w:basedOn w:val="Normal"/>
    <w:next w:val="NormalIndent"/>
    <w:link w:val="Heading5Char"/>
    <w:qFormat/>
    <w:pPr>
      <w:keepNext/>
      <w:keepLines/>
      <w:numPr>
        <w:ilvl w:val="4"/>
        <w:numId w:val="2"/>
      </w:numPr>
      <w:tabs>
        <w:tab w:val="num" w:pos="851"/>
      </w:tabs>
      <w:spacing w:before="180" w:after="60"/>
      <w:ind w:left="1134" w:hanging="1134"/>
      <w:outlineLvl w:val="4"/>
    </w:pPr>
    <w:rPr>
      <w:i/>
    </w:rPr>
  </w:style>
  <w:style w:type="paragraph" w:styleId="Heading6">
    <w:name w:val="heading 6"/>
    <w:basedOn w:val="Normal"/>
    <w:next w:val="NormalIndent"/>
    <w:link w:val="Heading6Char"/>
    <w:qFormat/>
    <w:pPr>
      <w:numPr>
        <w:ilvl w:val="5"/>
        <w:numId w:val="2"/>
      </w:numPr>
      <w:outlineLvl w:val="5"/>
    </w:pPr>
    <w:rPr>
      <w:rFonts w:ascii="Times New Roman" w:hAnsi="Times New Roman"/>
      <w:sz w:val="20"/>
      <w:u w:val="single"/>
    </w:rPr>
  </w:style>
  <w:style w:type="paragraph" w:styleId="Heading7">
    <w:name w:val="heading 7"/>
    <w:basedOn w:val="Normal"/>
    <w:next w:val="NormalIndent"/>
    <w:link w:val="Heading7Char"/>
    <w:qFormat/>
    <w:pPr>
      <w:numPr>
        <w:ilvl w:val="6"/>
        <w:numId w:val="2"/>
      </w:numPr>
      <w:outlineLvl w:val="6"/>
    </w:pPr>
    <w:rPr>
      <w:rFonts w:ascii="Times New Roman" w:hAnsi="Times New Roman"/>
      <w:i/>
      <w:sz w:val="20"/>
    </w:rPr>
  </w:style>
  <w:style w:type="paragraph" w:styleId="Heading8">
    <w:name w:val="heading 8"/>
    <w:basedOn w:val="Normal"/>
    <w:next w:val="NormalIndent"/>
    <w:link w:val="Heading8Char"/>
    <w:qFormat/>
    <w:pPr>
      <w:numPr>
        <w:ilvl w:val="7"/>
        <w:numId w:val="2"/>
      </w:numPr>
      <w:outlineLvl w:val="7"/>
    </w:pPr>
    <w:rPr>
      <w:rFonts w:ascii="Times New Roman" w:hAnsi="Times New Roman"/>
      <w:i/>
      <w:sz w:val="20"/>
    </w:rPr>
  </w:style>
  <w:style w:type="paragraph" w:styleId="Heading9">
    <w:name w:val="heading 9"/>
    <w:basedOn w:val="Normal"/>
    <w:next w:val="NormalIndent"/>
    <w:link w:val="Heading9Char"/>
    <w:qFormat/>
    <w:pPr>
      <w:numPr>
        <w:ilvl w:val="8"/>
        <w:numId w:val="2"/>
      </w:numPr>
      <w:outlineLvl w:val="8"/>
    </w:pPr>
    <w:rPr>
      <w:rFonts w:ascii="Times New Roman" w:hAnsi="Times New Roman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aliases w:val="Indent normal,Normal Indent 2,Indent normal Char Char Char,Normal Indent Char1,Indent normal Char,Normal Indent Char2 Char,Normal Indent Char Char1 Char,Normal Indent Char1 Char Char Char,Indent normal Char Char Char Char"/>
    <w:basedOn w:val="Normal"/>
    <w:link w:val="NormalIndentChar"/>
    <w:qFormat/>
    <w:pPr>
      <w:tabs>
        <w:tab w:val="left" w:pos="851"/>
      </w:tabs>
      <w:spacing w:after="120"/>
      <w:ind w:left="851"/>
    </w:pPr>
    <w:rPr>
      <w:snapToGrid w:val="0"/>
    </w:rPr>
  </w:style>
  <w:style w:type="character" w:customStyle="1" w:styleId="NormalIndentChar">
    <w:name w:val="Normal Indent Char"/>
    <w:aliases w:val="Indent normal Char1,Normal Indent 2 Char,Indent normal Char Char Char Char1,Normal Indent Char1 Char,Indent normal Char Char,Normal Indent Char2 Char Char,Normal Indent Char Char1 Char Char,Normal Indent Char1 Char Char Char Char"/>
    <w:basedOn w:val="DefaultParagraphFont"/>
    <w:link w:val="NormalIndent"/>
    <w:rsid w:val="002B6C1B"/>
    <w:rPr>
      <w:rFonts w:ascii="Arial" w:hAnsi="Arial"/>
      <w:snapToGrid w:val="0"/>
      <w:sz w:val="22"/>
      <w:lang w:eastAsia="en-US"/>
    </w:rPr>
  </w:style>
  <w:style w:type="character" w:customStyle="1" w:styleId="Heading1Char">
    <w:name w:val="Heading 1 Char"/>
    <w:aliases w:val="X. Char,headmain Char"/>
    <w:basedOn w:val="DefaultParagraphFont"/>
    <w:link w:val="Heading1"/>
    <w:locked/>
    <w:rsid w:val="00A85550"/>
    <w:rPr>
      <w:rFonts w:ascii="Arial" w:hAnsi="Arial"/>
      <w:b/>
      <w:caps/>
      <w:sz w:val="28"/>
      <w:lang w:eastAsia="en-US"/>
    </w:rPr>
  </w:style>
  <w:style w:type="character" w:customStyle="1" w:styleId="Heading2Char">
    <w:name w:val="Heading 2 Char"/>
    <w:basedOn w:val="DefaultParagraphFont"/>
    <w:link w:val="Heading2"/>
    <w:locked/>
    <w:rsid w:val="0084550E"/>
    <w:rPr>
      <w:rFonts w:ascii="Arial" w:hAnsi="Arial"/>
      <w:b/>
      <w:snapToGrid w:val="0"/>
      <w:sz w:val="24"/>
      <w:lang w:eastAsia="en-US"/>
    </w:rPr>
  </w:style>
  <w:style w:type="character" w:customStyle="1" w:styleId="Heading3Char">
    <w:name w:val="Heading 3 Char"/>
    <w:aliases w:val="Heading 3DBM Char,Heading 3DBM1 Char,Section Char,X.X.X Char,DNV-H3 Char"/>
    <w:basedOn w:val="DefaultParagraphFont"/>
    <w:link w:val="Heading3"/>
    <w:locked/>
    <w:rsid w:val="0084550E"/>
    <w:rPr>
      <w:rFonts w:ascii="Arial" w:hAnsi="Arial"/>
      <w:b/>
      <w:sz w:val="22"/>
      <w:lang w:eastAsia="en-US"/>
    </w:rPr>
  </w:style>
  <w:style w:type="character" w:customStyle="1" w:styleId="Heading4Char">
    <w:name w:val="Heading 4 Char"/>
    <w:aliases w:val="Heading 4DBM Char"/>
    <w:basedOn w:val="DefaultParagraphFont"/>
    <w:link w:val="Heading4"/>
    <w:locked/>
    <w:rsid w:val="0084550E"/>
    <w:rPr>
      <w:rFonts w:ascii="Arial" w:hAnsi="Arial"/>
      <w:b/>
      <w:sz w:val="22"/>
      <w:lang w:eastAsia="en-US"/>
    </w:rPr>
  </w:style>
  <w:style w:type="character" w:customStyle="1" w:styleId="Heading5Char">
    <w:name w:val="Heading 5 Char"/>
    <w:basedOn w:val="DefaultParagraphFont"/>
    <w:link w:val="Heading5"/>
    <w:locked/>
    <w:rsid w:val="0084550E"/>
    <w:rPr>
      <w:rFonts w:ascii="Arial" w:hAnsi="Arial"/>
      <w:i/>
      <w:sz w:val="22"/>
      <w:lang w:eastAsia="en-US"/>
    </w:rPr>
  </w:style>
  <w:style w:type="character" w:customStyle="1" w:styleId="Heading6Char">
    <w:name w:val="Heading 6 Char"/>
    <w:basedOn w:val="DefaultParagraphFont"/>
    <w:link w:val="Heading6"/>
    <w:locked/>
    <w:rsid w:val="0084550E"/>
    <w:rPr>
      <w:u w:val="single"/>
      <w:lang w:eastAsia="en-US"/>
    </w:rPr>
  </w:style>
  <w:style w:type="character" w:customStyle="1" w:styleId="Heading7Char">
    <w:name w:val="Heading 7 Char"/>
    <w:basedOn w:val="DefaultParagraphFont"/>
    <w:link w:val="Heading7"/>
    <w:locked/>
    <w:rsid w:val="0084550E"/>
    <w:rPr>
      <w:i/>
      <w:lang w:eastAsia="en-US"/>
    </w:rPr>
  </w:style>
  <w:style w:type="character" w:customStyle="1" w:styleId="Heading8Char">
    <w:name w:val="Heading 8 Char"/>
    <w:basedOn w:val="DefaultParagraphFont"/>
    <w:link w:val="Heading8"/>
    <w:locked/>
    <w:rsid w:val="0084550E"/>
    <w:rPr>
      <w:i/>
      <w:lang w:eastAsia="en-US"/>
    </w:rPr>
  </w:style>
  <w:style w:type="character" w:customStyle="1" w:styleId="Heading9Char">
    <w:name w:val="Heading 9 Char"/>
    <w:basedOn w:val="DefaultParagraphFont"/>
    <w:link w:val="Heading9"/>
    <w:locked/>
    <w:rsid w:val="0084550E"/>
    <w:rPr>
      <w:i/>
      <w:lang w:eastAsia="en-US"/>
    </w:rPr>
  </w:style>
  <w:style w:type="paragraph" w:styleId="TOC3">
    <w:name w:val="toc 3"/>
    <w:basedOn w:val="Normal"/>
    <w:next w:val="Normal"/>
    <w:uiPriority w:val="39"/>
    <w:rsid w:val="0046661D"/>
    <w:pPr>
      <w:tabs>
        <w:tab w:val="right" w:leader="dot" w:pos="9923"/>
      </w:tabs>
      <w:spacing w:after="60"/>
      <w:ind w:left="1418" w:hanging="851"/>
      <w:contextualSpacing/>
    </w:pPr>
    <w:rPr>
      <w:rFonts w:ascii="Helvetica" w:hAnsi="Helvetica"/>
      <w:sz w:val="20"/>
    </w:rPr>
  </w:style>
  <w:style w:type="paragraph" w:styleId="TOC2">
    <w:name w:val="toc 2"/>
    <w:basedOn w:val="Normal"/>
    <w:next w:val="Normal"/>
    <w:uiPriority w:val="39"/>
    <w:rsid w:val="0046661D"/>
    <w:pPr>
      <w:tabs>
        <w:tab w:val="right" w:leader="dot" w:pos="9923"/>
      </w:tabs>
      <w:spacing w:after="60"/>
      <w:ind w:left="1135" w:hanging="851"/>
      <w:contextualSpacing/>
    </w:pPr>
    <w:rPr>
      <w:rFonts w:ascii="Helvetica" w:hAnsi="Helvetica"/>
    </w:rPr>
  </w:style>
  <w:style w:type="paragraph" w:styleId="TOC1">
    <w:name w:val="toc 1"/>
    <w:basedOn w:val="Normal"/>
    <w:next w:val="Normal"/>
    <w:uiPriority w:val="39"/>
    <w:rsid w:val="0046661D"/>
    <w:pPr>
      <w:tabs>
        <w:tab w:val="right" w:leader="dot" w:pos="9923"/>
      </w:tabs>
      <w:spacing w:before="120"/>
      <w:ind w:left="851" w:hanging="851"/>
      <w:contextualSpacing/>
    </w:pPr>
    <w:rPr>
      <w:rFonts w:ascii="Helvetica" w:hAnsi="Helvetica"/>
      <w:b/>
      <w:caps/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4550E"/>
    <w:rPr>
      <w:rFonts w:ascii="Arial" w:hAnsi="Arial"/>
      <w:sz w:val="22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4550E"/>
    <w:rPr>
      <w:rFonts w:ascii="Arial" w:hAnsi="Arial"/>
      <w:sz w:val="22"/>
      <w:lang w:eastAsia="en-US"/>
    </w:rPr>
  </w:style>
  <w:style w:type="paragraph" w:customStyle="1" w:styleId="Figure">
    <w:name w:val="Figure"/>
    <w:basedOn w:val="Normal"/>
    <w:rsid w:val="003C3CDB"/>
    <w:pPr>
      <w:keepNext/>
      <w:tabs>
        <w:tab w:val="left" w:pos="851"/>
      </w:tabs>
      <w:spacing w:before="240"/>
      <w:ind w:left="851"/>
      <w:jc w:val="center"/>
    </w:pPr>
    <w:rPr>
      <w:snapToGrid w:val="0"/>
    </w:rPr>
  </w:style>
  <w:style w:type="paragraph" w:customStyle="1" w:styleId="Referanse">
    <w:name w:val="Referanse"/>
    <w:basedOn w:val="Normal"/>
    <w:next w:val="Normal"/>
    <w:pPr>
      <w:tabs>
        <w:tab w:val="left" w:pos="1418"/>
      </w:tabs>
    </w:pPr>
  </w:style>
  <w:style w:type="paragraph" w:customStyle="1" w:styleId="DocNo">
    <w:name w:val="DocNo"/>
    <w:basedOn w:val="Normal"/>
    <w:pPr>
      <w:tabs>
        <w:tab w:val="left" w:pos="1418"/>
        <w:tab w:val="left" w:pos="7140"/>
      </w:tabs>
      <w:jc w:val="center"/>
    </w:pPr>
    <w:rPr>
      <w:b/>
      <w:color w:val="0000FF"/>
      <w:sz w:val="28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color w:val="0000FF"/>
      <w:sz w:val="28"/>
    </w:rPr>
  </w:style>
  <w:style w:type="character" w:customStyle="1" w:styleId="TitleChar">
    <w:name w:val="Title Char"/>
    <w:basedOn w:val="DefaultParagraphFont"/>
    <w:link w:val="Title"/>
    <w:uiPriority w:val="10"/>
    <w:locked/>
    <w:rsid w:val="0084550E"/>
    <w:rPr>
      <w:rFonts w:ascii="Arial" w:hAnsi="Arial"/>
      <w:b/>
      <w:color w:val="0000FF"/>
      <w:sz w:val="28"/>
      <w:lang w:eastAsia="en-US"/>
    </w:rPr>
  </w:style>
  <w:style w:type="paragraph" w:customStyle="1" w:styleId="Project">
    <w:name w:val="Project"/>
    <w:basedOn w:val="Normal"/>
    <w:pPr>
      <w:tabs>
        <w:tab w:val="left" w:pos="1134"/>
      </w:tabs>
    </w:pPr>
    <w:rPr>
      <w:color w:val="0000FF"/>
      <w:lang w:val="nb-NO"/>
    </w:rPr>
  </w:style>
  <w:style w:type="paragraph" w:customStyle="1" w:styleId="Revno">
    <w:name w:val="Revno"/>
    <w:basedOn w:val="Normal"/>
    <w:next w:val="Normal"/>
    <w:pPr>
      <w:tabs>
        <w:tab w:val="left" w:pos="1134"/>
      </w:tabs>
      <w:jc w:val="center"/>
    </w:pPr>
    <w:rPr>
      <w:rFonts w:ascii="Arial Narrow" w:hAnsi="Arial Narrow"/>
      <w:b/>
      <w:color w:val="0000FF"/>
      <w:lang w:val="nb-NO"/>
    </w:rPr>
  </w:style>
  <w:style w:type="paragraph" w:customStyle="1" w:styleId="Revdate">
    <w:name w:val="Revdate"/>
    <w:basedOn w:val="Revno"/>
  </w:style>
  <w:style w:type="paragraph" w:customStyle="1" w:styleId="Doctype">
    <w:name w:val="Doctype"/>
    <w:basedOn w:val="Normal"/>
    <w:pPr>
      <w:tabs>
        <w:tab w:val="left" w:pos="1134"/>
      </w:tabs>
      <w:jc w:val="center"/>
    </w:pPr>
    <w:rPr>
      <w:rFonts w:ascii="Arial Narrow" w:hAnsi="Arial Narrow"/>
      <w:b/>
      <w:color w:val="0000FF"/>
      <w:sz w:val="28"/>
      <w:lang w:val="nb-NO"/>
    </w:rPr>
  </w:style>
  <w:style w:type="paragraph" w:styleId="TOC4">
    <w:name w:val="toc 4"/>
    <w:basedOn w:val="Normal"/>
    <w:next w:val="Normal"/>
    <w:uiPriority w:val="39"/>
    <w:semiHidden/>
    <w:pPr>
      <w:tabs>
        <w:tab w:val="right" w:leader="dot" w:pos="9923"/>
      </w:tabs>
      <w:ind w:left="660"/>
    </w:pPr>
  </w:style>
  <w:style w:type="paragraph" w:styleId="TOC5">
    <w:name w:val="toc 5"/>
    <w:basedOn w:val="Normal"/>
    <w:next w:val="Normal"/>
    <w:uiPriority w:val="39"/>
    <w:semiHidden/>
    <w:pPr>
      <w:tabs>
        <w:tab w:val="right" w:leader="dot" w:pos="9923"/>
      </w:tabs>
      <w:ind w:left="880"/>
    </w:pPr>
  </w:style>
  <w:style w:type="paragraph" w:styleId="TOC6">
    <w:name w:val="toc 6"/>
    <w:basedOn w:val="Normal"/>
    <w:next w:val="Normal"/>
    <w:uiPriority w:val="39"/>
    <w:semiHidden/>
    <w:pPr>
      <w:tabs>
        <w:tab w:val="right" w:leader="dot" w:pos="9923"/>
      </w:tabs>
      <w:ind w:left="1100"/>
    </w:pPr>
  </w:style>
  <w:style w:type="paragraph" w:styleId="TOC7">
    <w:name w:val="toc 7"/>
    <w:basedOn w:val="Normal"/>
    <w:next w:val="Normal"/>
    <w:uiPriority w:val="39"/>
    <w:semiHidden/>
    <w:pPr>
      <w:tabs>
        <w:tab w:val="right" w:leader="dot" w:pos="9923"/>
      </w:tabs>
      <w:ind w:left="1320"/>
    </w:pPr>
  </w:style>
  <w:style w:type="paragraph" w:styleId="TOC8">
    <w:name w:val="toc 8"/>
    <w:basedOn w:val="Normal"/>
    <w:next w:val="Normal"/>
    <w:uiPriority w:val="39"/>
    <w:semiHidden/>
    <w:pPr>
      <w:tabs>
        <w:tab w:val="right" w:leader="dot" w:pos="9923"/>
      </w:tabs>
      <w:ind w:left="1540"/>
    </w:pPr>
  </w:style>
  <w:style w:type="paragraph" w:styleId="TOC9">
    <w:name w:val="toc 9"/>
    <w:basedOn w:val="Normal"/>
    <w:next w:val="Normal"/>
    <w:uiPriority w:val="39"/>
    <w:semiHidden/>
    <w:pPr>
      <w:tabs>
        <w:tab w:val="right" w:leader="dot" w:pos="9923"/>
      </w:tabs>
      <w:ind w:left="1760"/>
    </w:pPr>
  </w:style>
  <w:style w:type="paragraph" w:customStyle="1" w:styleId="DocTitle">
    <w:name w:val="DocTitle"/>
    <w:basedOn w:val="Normal"/>
    <w:pPr>
      <w:jc w:val="center"/>
    </w:pPr>
    <w:rPr>
      <w:sz w:val="32"/>
    </w:rPr>
  </w:style>
  <w:style w:type="character" w:styleId="PageNumber">
    <w:name w:val="page number"/>
    <w:basedOn w:val="DefaultParagraphFont"/>
    <w:uiPriority w:val="99"/>
  </w:style>
  <w:style w:type="paragraph" w:styleId="Caption">
    <w:name w:val="caption"/>
    <w:aliases w:val="Char1 Char"/>
    <w:basedOn w:val="Normal"/>
    <w:next w:val="Normal"/>
    <w:link w:val="CaptionChar"/>
    <w:qFormat/>
    <w:pPr>
      <w:keepLines/>
      <w:spacing w:before="240" w:after="480"/>
      <w:ind w:left="851"/>
      <w:jc w:val="center"/>
    </w:pPr>
    <w:rPr>
      <w:i/>
    </w:rPr>
  </w:style>
  <w:style w:type="character" w:customStyle="1" w:styleId="CaptionChar">
    <w:name w:val="Caption Char"/>
    <w:aliases w:val="Char1 Char Char"/>
    <w:link w:val="Caption"/>
    <w:locked/>
    <w:rsid w:val="00A85550"/>
    <w:rPr>
      <w:rFonts w:ascii="Arial" w:hAnsi="Arial"/>
      <w:i/>
      <w:sz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84550E"/>
    <w:rPr>
      <w:rFonts w:ascii="Tahoma" w:hAnsi="Tahoma"/>
      <w:sz w:val="22"/>
      <w:shd w:val="clear" w:color="auto" w:fill="000080"/>
      <w:lang w:eastAsia="en-US"/>
    </w:rPr>
  </w:style>
  <w:style w:type="paragraph" w:styleId="NoteHeading">
    <w:name w:val="Note Heading"/>
    <w:basedOn w:val="Normal"/>
    <w:next w:val="Normal"/>
    <w:link w:val="NoteHeadingChar"/>
    <w:uiPriority w:val="99"/>
  </w:style>
  <w:style w:type="character" w:customStyle="1" w:styleId="NoteHeadingChar">
    <w:name w:val="Note Heading Char"/>
    <w:basedOn w:val="DefaultParagraphFont"/>
    <w:link w:val="NoteHeading"/>
    <w:uiPriority w:val="99"/>
    <w:locked/>
    <w:rsid w:val="0084550E"/>
    <w:rPr>
      <w:rFonts w:ascii="Arial" w:hAnsi="Arial"/>
      <w:sz w:val="22"/>
      <w:lang w:eastAsia="en-US"/>
    </w:rPr>
  </w:style>
  <w:style w:type="paragraph" w:customStyle="1" w:styleId="Numberedlist">
    <w:name w:val="Numbered list"/>
    <w:basedOn w:val="Normal"/>
    <w:rsid w:val="00020EC8"/>
    <w:pPr>
      <w:keepLines/>
      <w:numPr>
        <w:numId w:val="3"/>
      </w:numPr>
      <w:tabs>
        <w:tab w:val="left" w:pos="1531"/>
      </w:tabs>
      <w:spacing w:after="120"/>
    </w:pPr>
    <w:rPr>
      <w:snapToGrid w:val="0"/>
    </w:rPr>
  </w:style>
  <w:style w:type="paragraph" w:customStyle="1" w:styleId="Tabletext">
    <w:name w:val="Table text"/>
    <w:basedOn w:val="NormalIndent"/>
    <w:rsid w:val="00020EC8"/>
    <w:pPr>
      <w:tabs>
        <w:tab w:val="clear" w:pos="851"/>
      </w:tabs>
      <w:spacing w:before="40" w:after="40"/>
      <w:ind w:left="34" w:hanging="34"/>
    </w:pPr>
    <w:rPr>
      <w:rFonts w:ascii="Times New Roman" w:hAnsi="Times New Roman"/>
      <w:sz w:val="20"/>
    </w:rPr>
  </w:style>
  <w:style w:type="paragraph" w:customStyle="1" w:styleId="Bulletedlist">
    <w:name w:val="Bulleted list"/>
    <w:basedOn w:val="Normal"/>
    <w:pPr>
      <w:keepLines/>
      <w:numPr>
        <w:numId w:val="1"/>
      </w:numPr>
      <w:tabs>
        <w:tab w:val="clear" w:pos="360"/>
        <w:tab w:val="num" w:pos="1418"/>
      </w:tabs>
      <w:spacing w:after="120"/>
      <w:ind w:left="1418" w:hanging="207"/>
    </w:pPr>
  </w:style>
  <w:style w:type="paragraph" w:customStyle="1" w:styleId="DefaultText">
    <w:name w:val="Default Text"/>
    <w:basedOn w:val="Normal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rPr>
      <w:rFonts w:ascii="Times New Roman" w:hAnsi="Times New Roman"/>
      <w:b/>
      <w:bCs/>
      <w:sz w:val="24"/>
      <w:szCs w:val="24"/>
      <w:lang w:val="nb-NO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4550E"/>
    <w:rPr>
      <w:b/>
      <w:bCs/>
      <w:sz w:val="24"/>
      <w:szCs w:val="24"/>
      <w:lang w:val="nb-NO" w:eastAsia="en-US"/>
    </w:rPr>
  </w:style>
  <w:style w:type="character" w:styleId="Hyperlink">
    <w:name w:val="Hyperlink"/>
    <w:uiPriority w:val="99"/>
    <w:rPr>
      <w:color w:val="0000FF"/>
      <w:u w:val="single"/>
    </w:rPr>
  </w:style>
  <w:style w:type="table" w:customStyle="1" w:styleId="Vetcoreporttables">
    <w:name w:val="Vetco report tables"/>
    <w:basedOn w:val="TableList2"/>
    <w:rsid w:val="00020EC8"/>
    <w:rPr>
      <w:sz w:val="18"/>
      <w:lang w:val="nb-NO" w:eastAsia="nb-NO"/>
    </w:rPr>
    <w:tblPr>
      <w:tblStyleColBandSize w:val="1"/>
      <w:tblBorders>
        <w:top w:val="single" w:sz="8" w:space="0" w:color="808080"/>
        <w:bottom w:val="single" w:sz="8" w:space="0" w:color="808080"/>
        <w:insideH w:val="single" w:sz="8" w:space="0" w:color="808080"/>
      </w:tblBorders>
    </w:tblPr>
    <w:tcPr>
      <w:shd w:val="clear" w:color="auto" w:fill="auto"/>
      <w:vAlign w:val="center"/>
    </w:tcPr>
    <w:tblStylePr w:type="firstRow">
      <w:rPr>
        <w:b/>
        <w:bCs/>
        <w:color w:val="FFFFFF"/>
      </w:rPr>
      <w:tblPr/>
      <w:tcPr>
        <w:tcBorders>
          <w:bottom w:val="nil"/>
          <w:tl2br w:val="none" w:sz="0" w:space="0" w:color="auto"/>
          <w:tr2bl w:val="none" w:sz="0" w:space="0" w:color="auto"/>
        </w:tcBorders>
        <w:shd w:val="clear" w:color="333399" w:fill="666666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op w:val="single" w:sz="8" w:space="0" w:color="808080"/>
          <w:left w:val="nil"/>
          <w:bottom w:val="single" w:sz="8" w:space="0" w:color="808080"/>
          <w:right w:val="nil"/>
          <w:insideH w:val="nil"/>
          <w:insideV w:val="nil"/>
          <w:tl2br w:val="nil"/>
          <w:tr2bl w:val="nil"/>
        </w:tcBorders>
        <w:shd w:val="clear" w:color="00FF00" w:fill="FFFFFF"/>
      </w:tcPr>
    </w:tblStylePr>
    <w:tblStylePr w:type="band2Horz">
      <w:rPr>
        <w:color w:val="auto"/>
      </w:rPr>
      <w:tblPr/>
      <w:tcPr>
        <w:tcBorders>
          <w:top w:val="single" w:sz="8" w:space="0" w:color="808080"/>
          <w:left w:val="nil"/>
          <w:bottom w:val="single" w:sz="8" w:space="0" w:color="80808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rsid w:val="00A05FB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ablecaptionnumber">
    <w:name w:val="Table caption number"/>
    <w:rsid w:val="00020EC8"/>
    <w:rPr>
      <w:b w:val="0"/>
      <w:bCs w:val="0"/>
    </w:rPr>
  </w:style>
  <w:style w:type="character" w:styleId="Strong">
    <w:name w:val="Strong"/>
    <w:uiPriority w:val="22"/>
    <w:qFormat/>
    <w:rsid w:val="00305D74"/>
    <w:rPr>
      <w:b/>
      <w:bCs/>
    </w:rPr>
  </w:style>
  <w:style w:type="character" w:customStyle="1" w:styleId="Figurecaptionnumber">
    <w:name w:val="Figure caption number"/>
    <w:rsid w:val="00020EC8"/>
    <w:rPr>
      <w:b w:val="0"/>
      <w:bCs/>
    </w:rPr>
  </w:style>
  <w:style w:type="paragraph" w:customStyle="1" w:styleId="Figurecaption">
    <w:name w:val="Figure caption"/>
    <w:basedOn w:val="Caption"/>
    <w:rsid w:val="00020EC8"/>
    <w:pPr>
      <w:spacing w:before="120" w:after="240"/>
    </w:pPr>
    <w:rPr>
      <w:i w:val="0"/>
      <w:sz w:val="18"/>
    </w:rPr>
  </w:style>
  <w:style w:type="paragraph" w:customStyle="1" w:styleId="Equation">
    <w:name w:val="Equation"/>
    <w:basedOn w:val="NormalIndent"/>
    <w:next w:val="NormalIndent"/>
    <w:rsid w:val="00020EC8"/>
    <w:pPr>
      <w:tabs>
        <w:tab w:val="right" w:pos="9923"/>
      </w:tabs>
      <w:spacing w:after="240"/>
      <w:ind w:left="1440"/>
      <w:contextualSpacing/>
    </w:pPr>
    <w:rPr>
      <w:rFonts w:ascii="Times New Roman" w:hAnsi="Times New Roman"/>
    </w:rPr>
  </w:style>
  <w:style w:type="paragraph" w:customStyle="1" w:styleId="Reference">
    <w:name w:val="Reference"/>
    <w:basedOn w:val="NormalIndent"/>
    <w:rsid w:val="003C2979"/>
    <w:pPr>
      <w:numPr>
        <w:numId w:val="4"/>
      </w:numPr>
      <w:tabs>
        <w:tab w:val="clear" w:pos="851"/>
      </w:tabs>
    </w:pPr>
    <w:rPr>
      <w:rFonts w:ascii="Times New Roman" w:hAnsi="Times New Roman"/>
    </w:rPr>
  </w:style>
  <w:style w:type="paragraph" w:customStyle="1" w:styleId="Tablecaption">
    <w:name w:val="Table caption"/>
    <w:basedOn w:val="Caption"/>
    <w:rsid w:val="00020EC8"/>
    <w:pPr>
      <w:keepNext/>
      <w:spacing w:before="120" w:after="120"/>
      <w:jc w:val="right"/>
    </w:pPr>
    <w:rPr>
      <w:i w:val="0"/>
      <w:sz w:val="18"/>
    </w:rPr>
  </w:style>
  <w:style w:type="paragraph" w:styleId="BalloonText">
    <w:name w:val="Balloon Text"/>
    <w:basedOn w:val="Normal"/>
    <w:link w:val="BalloonTextChar"/>
    <w:uiPriority w:val="99"/>
    <w:rsid w:val="00BB4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B438C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B438C"/>
    <w:rPr>
      <w:color w:val="808080"/>
    </w:rPr>
  </w:style>
  <w:style w:type="character" w:customStyle="1" w:styleId="NormalIndentCharChar">
    <w:name w:val="Normal Indent Char Char"/>
    <w:aliases w:val="Indent normal Char2 Char,Normal Indent 2 Char1 Char,Indent normal1 Char Char,Indent normal Char Char Char Char2 Char,Normal Indent Char1 Char1 Char,Indent normal Char Char1 Char,Normal Indent Char2 Char Char1 Char"/>
    <w:rsid w:val="002B6C1B"/>
    <w:rPr>
      <w:rFonts w:ascii="Arial" w:hAnsi="Arial"/>
      <w:snapToGrid w:val="0"/>
      <w:sz w:val="22"/>
      <w:lang w:val="en-GB" w:eastAsia="en-US" w:bidi="ar-SA"/>
    </w:rPr>
  </w:style>
  <w:style w:type="paragraph" w:styleId="ListParagraph">
    <w:name w:val="List Paragraph"/>
    <w:basedOn w:val="NormalIndent"/>
    <w:uiPriority w:val="34"/>
    <w:qFormat/>
    <w:rsid w:val="002F400B"/>
    <w:pPr>
      <w:ind w:left="720"/>
      <w:contextualSpacing/>
    </w:pPr>
  </w:style>
  <w:style w:type="table" w:styleId="TableGrid">
    <w:name w:val="Table Grid"/>
    <w:basedOn w:val="TableNormal"/>
    <w:rsid w:val="00845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CaptionBoldNotItalicLeft">
    <w:name w:val="Style Caption + Bold Not Italic Left"/>
    <w:basedOn w:val="Caption"/>
    <w:link w:val="StyleCaptionBoldNotItalicLeftChar"/>
    <w:rsid w:val="0084550E"/>
    <w:pPr>
      <w:jc w:val="left"/>
    </w:pPr>
    <w:rPr>
      <w:bCs/>
      <w:i w:val="0"/>
    </w:rPr>
  </w:style>
  <w:style w:type="character" w:customStyle="1" w:styleId="StyleCaptionBoldNotItalicLeftChar">
    <w:name w:val="Style Caption + Bold Not Italic Left Char"/>
    <w:link w:val="StyleCaptionBoldNotItalicLeft"/>
    <w:locked/>
    <w:rsid w:val="0084550E"/>
    <w:rPr>
      <w:rFonts w:ascii="Arial" w:hAnsi="Arial"/>
      <w:bCs/>
      <w:sz w:val="22"/>
      <w:lang w:eastAsia="en-US"/>
    </w:rPr>
  </w:style>
  <w:style w:type="paragraph" w:customStyle="1" w:styleId="Default">
    <w:name w:val="Default"/>
    <w:rsid w:val="008455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670E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0227B9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227B9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Appendix">
    <w:name w:val="Appendix"/>
    <w:basedOn w:val="Heading1"/>
    <w:next w:val="NormalIndent"/>
    <w:autoRedefine/>
    <w:qFormat/>
    <w:rsid w:val="00CE70C2"/>
    <w:pPr>
      <w:numPr>
        <w:numId w:val="9"/>
      </w:numPr>
      <w:tabs>
        <w:tab w:val="num" w:pos="3345"/>
      </w:tabs>
      <w:spacing w:after="240"/>
    </w:pPr>
    <w:rPr>
      <w:szCs w:val="28"/>
    </w:rPr>
  </w:style>
  <w:style w:type="paragraph" w:customStyle="1" w:styleId="AppendixX1">
    <w:name w:val="Appendix X.1"/>
    <w:basedOn w:val="Heading2"/>
    <w:next w:val="NormalIndent"/>
    <w:qFormat/>
    <w:rsid w:val="00CE70C2"/>
    <w:pPr>
      <w:numPr>
        <w:numId w:val="9"/>
      </w:numPr>
      <w:tabs>
        <w:tab w:val="num" w:pos="3489"/>
      </w:tabs>
    </w:pPr>
  </w:style>
  <w:style w:type="paragraph" w:customStyle="1" w:styleId="AppendixX2">
    <w:name w:val="Appendix X.2"/>
    <w:basedOn w:val="Heading3"/>
    <w:next w:val="NormalIndent"/>
    <w:qFormat/>
    <w:rsid w:val="00CE70C2"/>
    <w:pPr>
      <w:numPr>
        <w:numId w:val="9"/>
      </w:numPr>
      <w:tabs>
        <w:tab w:val="num" w:pos="3633"/>
      </w:tabs>
    </w:pPr>
    <w:rPr>
      <w:sz w:val="24"/>
    </w:rPr>
  </w:style>
  <w:style w:type="paragraph" w:customStyle="1" w:styleId="AppendixX3">
    <w:name w:val="Appendix X.3"/>
    <w:basedOn w:val="Heading4"/>
    <w:next w:val="NormalIndent"/>
    <w:qFormat/>
    <w:rsid w:val="00215A21"/>
    <w:pPr>
      <w:numPr>
        <w:numId w:val="9"/>
      </w:numPr>
      <w:tabs>
        <w:tab w:val="num" w:pos="3777"/>
      </w:tabs>
    </w:pPr>
    <w:rPr>
      <w:b w:val="0"/>
      <w:sz w:val="24"/>
    </w:rPr>
  </w:style>
  <w:style w:type="paragraph" w:customStyle="1" w:styleId="Obsahtabulky">
    <w:name w:val="Obsah tabulky"/>
    <w:basedOn w:val="Normal"/>
    <w:rsid w:val="00977237"/>
    <w:pPr>
      <w:widowControl w:val="0"/>
      <w:suppressLineNumbers/>
      <w:suppressAutoHyphens/>
    </w:pPr>
    <w:rPr>
      <w:rFonts w:ascii="Liberation Serif" w:eastAsia="Droid Sans Fallback" w:hAnsi="Liberation Serif" w:cs="FreeSans"/>
      <w:color w:val="00000A"/>
      <w:sz w:val="24"/>
      <w:szCs w:val="24"/>
      <w:lang w:val="cs-CZ" w:eastAsia="zh-CN" w:bidi="hi-IN"/>
    </w:rPr>
  </w:style>
  <w:style w:type="character" w:styleId="FollowedHyperlink">
    <w:name w:val="FollowedHyperlink"/>
    <w:basedOn w:val="DefaultParagraphFont"/>
    <w:semiHidden/>
    <w:unhideWhenUsed/>
    <w:rsid w:val="005E65E1"/>
    <w:rPr>
      <w:color w:val="800080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626D06"/>
    <w:pPr>
      <w:keepLines/>
      <w:numPr>
        <w:numId w:val="0"/>
      </w:numPr>
      <w:tabs>
        <w:tab w:val="num" w:pos="3345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 w:val="32"/>
      <w:szCs w:val="32"/>
      <w:lang w:val="en-US"/>
    </w:rPr>
  </w:style>
  <w:style w:type="table" w:styleId="LightShading">
    <w:name w:val="Light Shading"/>
    <w:basedOn w:val="TableNormal"/>
    <w:uiPriority w:val="60"/>
    <w:rsid w:val="00A10C4B"/>
    <w:rPr>
      <w:rFonts w:asciiTheme="minorHAnsi" w:eastAsiaTheme="minorEastAsia" w:hAnsiTheme="minorHAnsi" w:cstheme="minorBidi"/>
      <w:color w:val="000000" w:themeColor="text1" w:themeShade="BF"/>
      <w:sz w:val="22"/>
      <w:szCs w:val="22"/>
      <w:lang w:val="en-US" w:eastAsia="en-US"/>
    </w:rPr>
    <w:tblPr>
      <w:tblStyleRowBandSize w:val="1"/>
      <w:tblStyleColBandSize w:val="1"/>
      <w:tblInd w:w="851" w:type="dxa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ridTable1Light">
    <w:name w:val="Grid Table 1 Light"/>
    <w:basedOn w:val="TableNormal"/>
    <w:uiPriority w:val="46"/>
    <w:rsid w:val="001241E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CaptionedFigure" w:type="paragraph">
    <w:name w:val="Captioned Figure"/>
    <w:basedOn w:val="Figure"/>
    <w:pPr>
      <w:keepNext/>
    </w:pPr>
  </w:style>
  <w:style w:customStyle="1" w:styleId="ImageCaption" w:type="paragraph">
    <w:name w:val="Image Caption"/>
    <w:basedOn w:val="Caption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TableCaption" w:type="paragraph">
    <w:name w:val="Table Caption"/>
    <w:basedOn w:val="Caption"/>
    <w:pPr>
      <w:keepNext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4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0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62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hyperlink" Target="https://www.code-aster.org/spip.php?rubrique2" TargetMode="External"/><Relationship Id="rId11" Type="http://schemas.openxmlformats.org/officeDocument/2006/relationships/hyperlink" Target="http://www.dhondt.de/" TargetMode="External"/><Relationship Id="rId12" Type="http://schemas.openxmlformats.org/officeDocument/2006/relationships/hyperlink" Target="https://www.3ds.com/products-services/simulia/products/abaqus/" TargetMode="External"/><Relationship Id="rId13" Type="http://schemas.openxmlformats.org/officeDocument/2006/relationships/hyperlink" Target="https://www.dnv.com/services/linear-structural-analysis-sestra-2276" TargetMode="External"/><Relationship Id="rId14" Type="http://schemas.openxmlformats.org/officeDocument/2006/relationships/hyperlink" Target="https://github.com/Krande/adapy" TargetMode="External"/><Relationship Id="rId15" Type="http://schemas.openxmlformats.org/officeDocument/2006/relationships/hyperlink" Target="https://github.com/Krande/paradoc" TargetMode="External"/><Relationship Id="rId16" Type="http://schemas.openxmlformats.org/officeDocument/2006/relationships/image" Target="media/image1.png"/><Relationship Id="rId17" Type="http://schemas.openxmlformats.org/officeDocument/2006/relationships/image" Target="media/image2.pn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30" Type="http://schemas.openxmlformats.org/officeDocument/2006/relationships/image" Target="media/image15.png"/><Relationship Id="rId31" Type="http://schemas.openxmlformats.org/officeDocument/2006/relationships/image" Target="media/image16.png"/><Relationship Id="rId32" Type="http://schemas.openxmlformats.org/officeDocument/2006/relationships/image" Target="media/image17.png"/><Relationship Id="rId33" Type="http://schemas.openxmlformats.org/officeDocument/2006/relationships/image" Target="media/image18.png"/><Relationship Id="rId34" Type="http://schemas.openxmlformats.org/officeDocument/2006/relationships/image" Target="media/image19.png"/><Relationship Id="rId35" Type="http://schemas.openxmlformats.org/officeDocument/2006/relationships/image" Target="media/image20.png"/><Relationship Id="rId36" Type="http://schemas.openxmlformats.org/officeDocument/2006/relationships/image" Target="media/image21.png"/><Relationship Id="rId37" Type="http://schemas.openxmlformats.org/officeDocument/2006/relationships/image" Target="media/image22.png"/><Relationship Id="rId38" Type="http://schemas.openxmlformats.org/officeDocument/2006/relationships/image" Target="media/image23.png"/><Relationship Id="rId39" Type="http://schemas.openxmlformats.org/officeDocument/2006/relationships/image" Target="media/image24.png"/><Relationship Id="rId40" Type="http://schemas.openxmlformats.org/officeDocument/2006/relationships/image" Target="media/image25.png"/><Relationship Id="rId41" Type="http://schemas.openxmlformats.org/officeDocument/2006/relationships/image" Target="media/image26.png"/><Relationship Id="rId42" Type="http://schemas.openxmlformats.org/officeDocument/2006/relationships/image" Target="media/image27.png"/><Relationship Id="rId43" Type="http://schemas.openxmlformats.org/officeDocument/2006/relationships/image" Target="media/image28.png"/><Relationship Id="rId44" Type="http://schemas.openxmlformats.org/officeDocument/2006/relationships/image" Target="media/image29.png"/><Relationship Id="rId45" Type="http://schemas.openxmlformats.org/officeDocument/2006/relationships/image" Target="media/image30.png"/><Relationship Id="rId46" Type="http://schemas.openxmlformats.org/officeDocument/2006/relationships/image" Target="media/image31.png"/><Relationship Id="rId47" Type="http://schemas.openxmlformats.org/officeDocument/2006/relationships/image" Target="media/image32.png"/><Relationship Id="rId48" Type="http://schemas.openxmlformats.org/officeDocument/2006/relationships/image" Target="media/image33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36.png"/><Relationship Id="rId52" Type="http://schemas.openxmlformats.org/officeDocument/2006/relationships/image" Target="media/image37.png"/><Relationship Id="rId53" Type="http://schemas.openxmlformats.org/officeDocument/2006/relationships/image" Target="media/image38.png"/><Relationship Id="rId54" Type="http://schemas.openxmlformats.org/officeDocument/2006/relationships/image" Target="media/image39.png"/><Relationship Id="rId55" Type="http://schemas.openxmlformats.org/officeDocument/2006/relationships/image" Target="media/image40.png"/><Relationship Id="rId56" Type="http://schemas.openxmlformats.org/officeDocument/2006/relationships/image" Target="media/image41.png"/><Relationship Id="rId57" Type="http://schemas.openxmlformats.org/officeDocument/2006/relationships/image" Target="media/image42.png"/><Relationship Id="rId58" Type="http://schemas.openxmlformats.org/officeDocument/2006/relationships/image" Target="media/image43.png"/><Relationship Id="rId59" Type="http://schemas.openxmlformats.org/officeDocument/2006/relationships/image" Target="media/image44.png"/><Relationship Id="rId60" Type="http://schemas.openxmlformats.org/officeDocument/2006/relationships/image" Target="media/image45.png"/><Relationship Id="rId61" Type="http://schemas.openxmlformats.org/officeDocument/2006/relationships/image" Target="media/image46.png"/><Relationship Id="rId62" Type="http://schemas.openxmlformats.org/officeDocument/2006/relationships/image" Target="media/image47.png"/><Relationship Id="rId63" Type="http://schemas.openxmlformats.org/officeDocument/2006/relationships/image" Target="media/image48.png"/><Relationship Id="rId64" Type="http://schemas.openxmlformats.org/officeDocument/2006/relationships/image" Target="media/image49.png"/><Relationship Id="rId65" Type="http://schemas.openxmlformats.org/officeDocument/2006/relationships/image" Target="media/image50.png"/><Relationship Id="rId66" Type="http://schemas.openxmlformats.org/officeDocument/2006/relationships/image" Target="media/image51.png"/><Relationship Id="rId67" Type="http://schemas.openxmlformats.org/officeDocument/2006/relationships/image" Target="media/image52.png"/><Relationship Id="rId68" Type="http://schemas.openxmlformats.org/officeDocument/2006/relationships/image" Target="media/image53.png"/><Relationship Id="rId69" Type="http://schemas.openxmlformats.org/officeDocument/2006/relationships/image" Target="media/image54.png"/><Relationship Id="rId70" Type="http://schemas.openxmlformats.org/officeDocument/2006/relationships/image" Target="media/image55.png"/><Relationship Id="rId71" Type="http://schemas.openxmlformats.org/officeDocument/2006/relationships/image" Target="media/image56.png"/><Relationship Id="rId72" Type="http://schemas.openxmlformats.org/officeDocument/2006/relationships/image" Target="media/image57.png"/><Relationship Id="rId73" Type="http://schemas.openxmlformats.org/officeDocument/2006/relationships/image" Target="media/image58.png"/><Relationship Id="rId74" Type="http://schemas.openxmlformats.org/officeDocument/2006/relationships/image" Target="media/image59.png"/><Relationship Id="rId75" Type="http://schemas.openxmlformats.org/officeDocument/2006/relationships/image" Target="media/image60.png"/><Relationship Id="rId76" Type="http://schemas.openxmlformats.org/officeDocument/2006/relationships/image" Target="media/image61.png"/><Relationship Id="rId77" Type="http://schemas.openxmlformats.org/officeDocument/2006/relationships/image" Target="media/image62.png"/><Relationship Id="rId78" Type="http://schemas.openxmlformats.org/officeDocument/2006/relationships/image" Target="media/image63.png"/><Relationship Id="rId79" Type="http://schemas.openxmlformats.org/officeDocument/2006/relationships/image" Target="media/image64.png"/><Relationship Id="rId80" Type="http://schemas.openxmlformats.org/officeDocument/2006/relationships/image" Target="media/image65.png"/><Relationship Id="rId81" Type="http://schemas.openxmlformats.org/officeDocument/2006/relationships/image" Target="media/image66.png"/><Relationship Id="rId82" Type="http://schemas.openxmlformats.org/officeDocument/2006/relationships/image" Target="media/image67.png"/><Relationship Id="rId83" Type="http://schemas.openxmlformats.org/officeDocument/2006/relationships/image" Target="media/image68.png"/><Relationship Id="rId84" Type="http://schemas.openxmlformats.org/officeDocument/2006/relationships/image" Target="media/image69.png"/><Relationship Id="rId85" Type="http://schemas.openxmlformats.org/officeDocument/2006/relationships/image" Target="media/image70.png"/><Relationship Id="rId86" Type="http://schemas.openxmlformats.org/officeDocument/2006/relationships/image" Target="media/image71.png"/><Relationship Id="rId87" Type="http://schemas.openxmlformats.org/officeDocument/2006/relationships/image" Target="media/image72.png"/><Relationship Id="rId88" Type="http://schemas.openxmlformats.org/officeDocument/2006/relationships/image" Target="media/image73.png"/><Relationship Id="rId89" Type="http://schemas.openxmlformats.org/officeDocument/2006/relationships/image" Target="media/image74.png"/><Relationship Id="rId90" Type="http://schemas.openxmlformats.org/officeDocument/2006/relationships/image" Target="media/image75.png"/><Relationship Id="rId91" Type="http://schemas.openxmlformats.org/officeDocument/2006/relationships/image" Target="media/image76.png"/><Relationship Id="rId92" Type="http://schemas.openxmlformats.org/officeDocument/2006/relationships/image" Target="media/image77.png"/><Relationship Id="rId93" Type="http://schemas.openxmlformats.org/officeDocument/2006/relationships/image" Target="media/image78.png"/><Relationship Id="rId94" Type="http://schemas.openxmlformats.org/officeDocument/2006/relationships/image" Target="media/image79.png"/><Relationship Id="rId95" Type="http://schemas.openxmlformats.org/officeDocument/2006/relationships/image" Target="media/image80.png"/><Relationship Id="rId96" Type="http://schemas.openxmlformats.org/officeDocument/2006/relationships/image" Target="media/image81.png"/><Relationship Id="rId97" Type="http://schemas.openxmlformats.org/officeDocument/2006/relationships/image" Target="media/image82.png"/><Relationship Id="rId98" Type="http://schemas.openxmlformats.org/officeDocument/2006/relationships/image" Target="media/image83.png"/><Relationship Id="rId99" Type="http://schemas.openxmlformats.org/officeDocument/2006/relationships/image" Target="media/image84.png"/><Relationship Id="rId100" Type="http://schemas.openxmlformats.org/officeDocument/2006/relationships/image" Target="media/image85.png"/><Relationship Id="rId101" Type="http://schemas.openxmlformats.org/officeDocument/2006/relationships/image" Target="media/image86.png"/><Relationship Id="rId102" Type="http://schemas.openxmlformats.org/officeDocument/2006/relationships/image" Target="media/image87.png"/><Relationship Id="rId103" Type="http://schemas.openxmlformats.org/officeDocument/2006/relationships/image" Target="media/image88.png"/><Relationship Id="rId104" Type="http://schemas.openxmlformats.org/officeDocument/2006/relationships/image" Target="media/image89.png"/><Relationship Id="rId105" Type="http://schemas.openxmlformats.org/officeDocument/2006/relationships/image" Target="media/image90.png"/><Relationship Id="rId106" Type="http://schemas.openxmlformats.org/officeDocument/2006/relationships/image" Target="media/image91.png"/><Relationship Id="rId107" Type="http://schemas.openxmlformats.org/officeDocument/2006/relationships/image" Target="media/image92.png"/><Relationship Id="rId108" Type="http://schemas.openxmlformats.org/officeDocument/2006/relationships/image" Target="media/image93.png"/><Relationship Id="rId109" Type="http://schemas.openxmlformats.org/officeDocument/2006/relationships/image" Target="media/image94.png"/><Relationship Id="rId110" Type="http://schemas.openxmlformats.org/officeDocument/2006/relationships/image" Target="media/image95.png"/><Relationship Id="rId111" Type="http://schemas.openxmlformats.org/officeDocument/2006/relationships/image" Target="media/image96.png"/><Relationship Id="rId112" Type="http://schemas.openxmlformats.org/officeDocument/2006/relationships/image" Target="media/image97.png"/><Relationship Id="rId113" Type="http://schemas.openxmlformats.org/officeDocument/2006/relationships/image" Target="media/image98.png"/><Relationship Id="rId114" Type="http://schemas.openxmlformats.org/officeDocument/2006/relationships/image" Target="media/image99.png"/><Relationship Id="rId115" Type="http://schemas.openxmlformats.org/officeDocument/2006/relationships/image" Target="media/image100.png"/><Relationship Id="rId116" Type="http://schemas.openxmlformats.org/officeDocument/2006/relationships/image" Target="media/image101.png"/><Relationship Id="rId117" Type="http://schemas.openxmlformats.org/officeDocument/2006/relationships/image" Target="media/image102.png"/><Relationship Id="rId118" Type="http://schemas.openxmlformats.org/officeDocument/2006/relationships/image" Target="media/image103.png"/><Relationship Id="rId119" Type="http://schemas.openxmlformats.org/officeDocument/2006/relationships/image" Target="media/image104.png"/><Relationship Id="rId120" Type="http://schemas.openxmlformats.org/officeDocument/2006/relationships/image" Target="media/image105.png"/><Relationship Id="rId121" Type="http://schemas.openxmlformats.org/officeDocument/2006/relationships/image" Target="media/image106.png"/><Relationship Id="rId122" Type="http://schemas.openxmlformats.org/officeDocument/2006/relationships/image" Target="media/image107.png"/><Relationship Id="rId123" Type="http://schemas.openxmlformats.org/officeDocument/2006/relationships/image" Target="media/image108.png"/><Relationship Id="rId124" Type="http://schemas.openxmlformats.org/officeDocument/2006/relationships/image" Target="media/image109.png"/><Relationship Id="rId125" Type="http://schemas.openxmlformats.org/officeDocument/2006/relationships/image" Target="media/image110.png"/><Relationship Id="rId126" Type="http://schemas.openxmlformats.org/officeDocument/2006/relationships/image" Target="media/image111.png"/><Relationship Id="rId127" Type="http://schemas.openxmlformats.org/officeDocument/2006/relationships/image" Target="media/image112.png"/><Relationship Id="rId128" Type="http://schemas.openxmlformats.org/officeDocument/2006/relationships/image" Target="media/image113.png"/><Relationship Id="rId129" Type="http://schemas.openxmlformats.org/officeDocument/2006/relationships/image" Target="media/image114.png"/><Relationship Id="rId130" Type="http://schemas.openxmlformats.org/officeDocument/2006/relationships/image" Target="media/image115.png"/><Relationship Id="rId131" Type="http://schemas.openxmlformats.org/officeDocument/2006/relationships/image" Target="media/image116.png"/><Relationship Id="rId132" Type="http://schemas.openxmlformats.org/officeDocument/2006/relationships/image" Target="media/image117.png"/><Relationship Id="rId133" Type="http://schemas.openxmlformats.org/officeDocument/2006/relationships/image" Target="media/image118.png"/><Relationship Id="rId134" Type="http://schemas.openxmlformats.org/officeDocument/2006/relationships/image" Target="media/image119.png"/><Relationship Id="rId135" Type="http://schemas.openxmlformats.org/officeDocument/2006/relationships/image" Target="media/image120.png"/><Relationship Id="rId136" Type="http://schemas.openxmlformats.org/officeDocument/2006/relationships/image" Target="media/image121.png"/><Relationship Id="rId137" Type="http://schemas.openxmlformats.org/officeDocument/2006/relationships/image" Target="media/image122.png"/><Relationship Id="rId138" Type="http://schemas.openxmlformats.org/officeDocument/2006/relationships/image" Target="media/image123.png"/><Relationship Id="rId139" Type="http://schemas.openxmlformats.org/officeDocument/2006/relationships/image" Target="media/image124.png"/><Relationship Id="rId140" Type="http://schemas.openxmlformats.org/officeDocument/2006/relationships/image" Target="media/image125.png"/><Relationship Id="rId141" Type="http://schemas.openxmlformats.org/officeDocument/2006/relationships/image" Target="media/image126.png"/><Relationship Id="rId142" Type="http://schemas.openxmlformats.org/officeDocument/2006/relationships/image" Target="media/image127.png"/><Relationship Id="rId143" Type="http://schemas.openxmlformats.org/officeDocument/2006/relationships/image" Target="media/image128.png"/><Relationship Id="rId144" Type="http://schemas.openxmlformats.org/officeDocument/2006/relationships/image" Target="media/image129.png"/><Relationship Id="rId145" Type="http://schemas.openxmlformats.org/officeDocument/2006/relationships/image" Target="media/image130.png"/><Relationship Id="rId146" Type="http://schemas.openxmlformats.org/officeDocument/2006/relationships/image" Target="media/image131.png"/><Relationship Id="rId147" Type="http://schemas.openxmlformats.org/officeDocument/2006/relationships/image" Target="media/image132.png"/><Relationship Id="rId148" Type="http://schemas.openxmlformats.org/officeDocument/2006/relationships/image" Target="media/image133.png"/><Relationship Id="rId149" Type="http://schemas.openxmlformats.org/officeDocument/2006/relationships/image" Target="media/image134.png"/><Relationship Id="rId150" Type="http://schemas.openxmlformats.org/officeDocument/2006/relationships/image" Target="media/image135.png"/><Relationship Id="rId151" Type="http://schemas.openxmlformats.org/officeDocument/2006/relationships/image" Target="media/image136.png"/><Relationship Id="rId152" Type="http://schemas.openxmlformats.org/officeDocument/2006/relationships/image" Target="media/image137.png"/><Relationship Id="rId153" Type="http://schemas.openxmlformats.org/officeDocument/2006/relationships/image" Target="media/image138.png"/><Relationship Id="rId154" Type="http://schemas.openxmlformats.org/officeDocument/2006/relationships/image" Target="media/image139.png"/><Relationship Id="rId155" Type="http://schemas.openxmlformats.org/officeDocument/2006/relationships/image" Target="media/image140.png"/><Relationship Id="rId156" Type="http://schemas.openxmlformats.org/officeDocument/2006/relationships/image" Target="media/image141.png"/><Relationship Id="rId157" Type="http://schemas.openxmlformats.org/officeDocument/2006/relationships/image" Target="media/image142.png"/><Relationship Id="rId158" Type="http://schemas.openxmlformats.org/officeDocument/2006/relationships/image" Target="media/image143.png"/><Relationship Id="rId159" Type="http://schemas.openxmlformats.org/officeDocument/2006/relationships/image" Target="media/image144.png"/><Relationship Id="rId160" Type="http://schemas.openxmlformats.org/officeDocument/2006/relationships/image" Target="media/image145.png"/><Relationship Id="rId161" Type="http://schemas.openxmlformats.org/officeDocument/2006/relationships/image" Target="media/image146.png"/><Relationship Id="rId162" Type="http://schemas.openxmlformats.org/officeDocument/2006/relationships/image" Target="media/image147.png"/><Relationship Id="rId163" Type="http://schemas.openxmlformats.org/officeDocument/2006/relationships/image" Target="media/image148.png"/><Relationship Id="rId164" Type="http://schemas.openxmlformats.org/officeDocument/2006/relationships/image" Target="media/image149.png"/><Relationship Id="rId165" Type="http://schemas.openxmlformats.org/officeDocument/2006/relationships/image" Target="media/image150.png"/><Relationship Id="rId166" Type="http://schemas.openxmlformats.org/officeDocument/2006/relationships/image" Target="media/image151.png"/><Relationship Id="rId167" Type="http://schemas.openxmlformats.org/officeDocument/2006/relationships/image" Target="media/image152.png"/><Relationship Id="rId168" Type="http://schemas.openxmlformats.org/officeDocument/2006/relationships/image" Target="media/image153.png"/><Relationship Id="rId169" Type="http://schemas.openxmlformats.org/officeDocument/2006/relationships/image" Target="media/image154.png"/><Relationship Id="rId170" Type="http://schemas.openxmlformats.org/officeDocument/2006/relationships/image" Target="media/image155.png"/><Relationship Id="rId171" Type="http://schemas.openxmlformats.org/officeDocument/2006/relationships/image" Target="media/image156.png"/><Relationship Id="rId172" Type="http://schemas.openxmlformats.org/officeDocument/2006/relationships/image" Target="media/image157.png"/><Relationship Id="rId173" Type="http://schemas.openxmlformats.org/officeDocument/2006/relationships/image" Target="media/image158.png"/><Relationship Id="rId174" Type="http://schemas.openxmlformats.org/officeDocument/2006/relationships/image" Target="media/image159.png"/><Relationship Id="rId175" Type="http://schemas.openxmlformats.org/officeDocument/2006/relationships/image" Target="media/image160.png"/><Relationship Id="rId176" Type="http://schemas.openxmlformats.org/officeDocument/2006/relationships/image" Target="media/image161.png"/><Relationship Id="rId177" Type="http://schemas.openxmlformats.org/officeDocument/2006/relationships/image" Target="media/image162.png"/><Relationship Id="rId178" Type="http://schemas.openxmlformats.org/officeDocument/2006/relationships/image" Target="media/image163.png"/><Relationship Id="rId179" Type="http://schemas.openxmlformats.org/officeDocument/2006/relationships/image" Target="media/image164.png"/><Relationship Id="rId180" Type="http://schemas.openxmlformats.org/officeDocument/2006/relationships/image" Target="media/image165.png"/><Relationship Id="rId181" Type="http://schemas.openxmlformats.org/officeDocument/2006/relationships/image" Target="media/image166.png"/><Relationship Id="rId182" Type="http://schemas.openxmlformats.org/officeDocument/2006/relationships/image" Target="media/image167.png"/><Relationship Id="rId183" Type="http://schemas.openxmlformats.org/officeDocument/2006/relationships/image" Target="media/image168.png"/><Relationship Id="rId184" Type="http://schemas.openxmlformats.org/officeDocument/2006/relationships/image" Target="media/image169.png"/><Relationship Id="rId185" Type="http://schemas.openxmlformats.org/officeDocument/2006/relationships/image" Target="media/image170.png"/><Relationship Id="rId186" Type="http://schemas.openxmlformats.org/officeDocument/2006/relationships/image" Target="media/image171.png"/><Relationship Id="rId187" Type="http://schemas.openxmlformats.org/officeDocument/2006/relationships/image" Target="media/image172.png"/><Relationship Id="rId188" Type="http://schemas.openxmlformats.org/officeDocument/2006/relationships/image" Target="media/image173.png"/><Relationship Id="rId189" Type="http://schemas.openxmlformats.org/officeDocument/2006/relationships/image" Target="media/image174.png"/><Relationship Id="rId190" Type="http://schemas.openxmlformats.org/officeDocument/2006/relationships/image" Target="media/image175.png"/><Relationship Id="rId191" Type="http://schemas.openxmlformats.org/officeDocument/2006/relationships/image" Target="media/image176.png"/><Relationship Id="rId192" Type="http://schemas.openxmlformats.org/officeDocument/2006/relationships/image" Target="media/image177.png"/><Relationship Id="rId193" Type="http://schemas.openxmlformats.org/officeDocument/2006/relationships/image" Target="media/image178.png"/><Relationship Id="rId194" Type="http://schemas.openxmlformats.org/officeDocument/2006/relationships/image" Target="media/image179.png"/><Relationship Id="rId195" Type="http://schemas.openxmlformats.org/officeDocument/2006/relationships/image" Target="media/image180.png"/><Relationship Id="rId196" Type="http://schemas.openxmlformats.org/officeDocument/2006/relationships/image" Target="media/image181.png"/><Relationship Id="rId197" Type="http://schemas.openxmlformats.org/officeDocument/2006/relationships/image" Target="media/image182.png"/><Relationship Id="rId198" Type="http://schemas.openxmlformats.org/officeDocument/2006/relationships/image" Target="media/image183.png"/><Relationship Id="rId199" Type="http://schemas.openxmlformats.org/officeDocument/2006/relationships/image" Target="media/image184.png"/><Relationship Id="rId200" Type="http://schemas.openxmlformats.org/officeDocument/2006/relationships/image" Target="media/image185.png"/><Relationship Id="rId201" Type="http://schemas.openxmlformats.org/officeDocument/2006/relationships/image" Target="media/image186.png"/><Relationship Id="rId202" Type="http://schemas.openxmlformats.org/officeDocument/2006/relationships/image" Target="media/image187.png"/><Relationship Id="rId203" Type="http://schemas.openxmlformats.org/officeDocument/2006/relationships/image" Target="media/image188.png"/><Relationship Id="rId204" Type="http://schemas.openxmlformats.org/officeDocument/2006/relationships/image" Target="media/image189.png"/><Relationship Id="rId205" Type="http://schemas.openxmlformats.org/officeDocument/2006/relationships/image" Target="media/image190.png"/><Relationship Id="rId206" Type="http://schemas.openxmlformats.org/officeDocument/2006/relationships/image" Target="media/image191.png"/><Relationship Id="rId207" Type="http://schemas.openxmlformats.org/officeDocument/2006/relationships/image" Target="media/image192.png"/><Relationship Id="rId208" Type="http://schemas.openxmlformats.org/officeDocument/2006/relationships/image" Target="media/image193.png"/><Relationship Id="rId209" Type="http://schemas.openxmlformats.org/officeDocument/2006/relationships/image" Target="media/image194.png"/><Relationship Id="rId210" Type="http://schemas.openxmlformats.org/officeDocument/2006/relationships/image" Target="media/image195.png"/><Relationship Id="rId211" Type="http://schemas.openxmlformats.org/officeDocument/2006/relationships/image" Target="media/image196.png"/><Relationship Id="rId212" Type="http://schemas.openxmlformats.org/officeDocument/2006/relationships/image" Target="media/image197.png"/><Relationship Id="rId213" Type="http://schemas.openxmlformats.org/officeDocument/2006/relationships/image" Target="media/image198.png"/><Relationship Id="rId214" Type="http://schemas.openxmlformats.org/officeDocument/2006/relationships/image" Target="media/image199.png"/><Relationship Id="rId215" Type="http://schemas.openxmlformats.org/officeDocument/2006/relationships/image" Target="media/image200.png"/><Relationship Id="rId216" Type="http://schemas.openxmlformats.org/officeDocument/2006/relationships/image" Target="media/image201.png"/><Relationship Id="rId217" Type="http://schemas.openxmlformats.org/officeDocument/2006/relationships/image" Target="media/image202.png"/><Relationship Id="rId218" Type="http://schemas.openxmlformats.org/officeDocument/2006/relationships/image" Target="media/image203.png"/><Relationship Id="rId219" Type="http://schemas.openxmlformats.org/officeDocument/2006/relationships/image" Target="media/image204.png"/><Relationship Id="rId220" Type="http://schemas.openxmlformats.org/officeDocument/2006/relationships/image" Target="media/image205.png"/><Relationship Id="rId221" Type="http://schemas.openxmlformats.org/officeDocument/2006/relationships/image" Target="media/image206.png"/><Relationship Id="rId222" Type="http://schemas.openxmlformats.org/officeDocument/2006/relationships/image" Target="media/image207.png"/><Relationship Id="rId223" Type="http://schemas.openxmlformats.org/officeDocument/2006/relationships/image" Target="media/image208.png"/><Relationship Id="rId224" Type="http://schemas.openxmlformats.org/officeDocument/2006/relationships/image" Target="media/image209.png"/><Relationship Id="rId225" Type="http://schemas.openxmlformats.org/officeDocument/2006/relationships/image" Target="media/image210.png"/><Relationship Id="rId226" Type="http://schemas.openxmlformats.org/officeDocument/2006/relationships/image" Target="media/image211.png"/><Relationship Id="rId227" Type="http://schemas.openxmlformats.org/officeDocument/2006/relationships/image" Target="media/image212.png"/><Relationship Id="rId228" Type="http://schemas.openxmlformats.org/officeDocument/2006/relationships/image" Target="media/image213.png"/><Relationship Id="rId229" Type="http://schemas.openxmlformats.org/officeDocument/2006/relationships/image" Target="media/image214.png"/><Relationship Id="rId230" Type="http://schemas.openxmlformats.org/officeDocument/2006/relationships/image" Target="media/image215.png"/><Relationship Id="rId231" Type="http://schemas.openxmlformats.org/officeDocument/2006/relationships/image" Target="media/image216.png"/><Relationship Id="rId232" Type="http://schemas.openxmlformats.org/officeDocument/2006/relationships/image" Target="media/image217.png"/><Relationship Id="rId233" Type="http://schemas.openxmlformats.org/officeDocument/2006/relationships/image" Target="media/image218.png"/><Relationship Id="rId234" Type="http://schemas.openxmlformats.org/officeDocument/2006/relationships/image" Target="media/image219.png"/><Relationship Id="rId235" Type="http://schemas.openxmlformats.org/officeDocument/2006/relationships/image" Target="media/image220.png"/><Relationship Id="rId236" Type="http://schemas.openxmlformats.org/officeDocument/2006/relationships/image" Target="media/image221.png"/><Relationship Id="rId237" Type="http://schemas.openxmlformats.org/officeDocument/2006/relationships/image" Target="media/image222.png"/><Relationship Id="rId238" Type="http://schemas.openxmlformats.org/officeDocument/2006/relationships/image" Target="media/image223.png"/><Relationship Id="rId239" Type="http://schemas.openxmlformats.org/officeDocument/2006/relationships/image" Target="media/image224.png"/><Relationship Id="rId240" Type="http://schemas.openxmlformats.org/officeDocument/2006/relationships/image" Target="media/image225.png"/><Relationship Id="rId241" Type="http://schemas.openxmlformats.org/officeDocument/2006/relationships/image" Target="media/image226.png"/><Relationship Id="rId242" Type="http://schemas.openxmlformats.org/officeDocument/2006/relationships/image" Target="media/image227.png"/><Relationship Id="rId243" Type="http://schemas.openxmlformats.org/officeDocument/2006/relationships/image" Target="media/image228.png"/><Relationship Id="rId244" Type="http://schemas.openxmlformats.org/officeDocument/2006/relationships/image" Target="media/image229.png"/><Relationship Id="rId245" Type="http://schemas.openxmlformats.org/officeDocument/2006/relationships/image" Target="media/image230.png"/><Relationship Id="rId246" Type="http://schemas.openxmlformats.org/officeDocument/2006/relationships/image" Target="media/image231.png"/><Relationship Id="rId247" Type="http://schemas.openxmlformats.org/officeDocument/2006/relationships/image" Target="media/image232.png"/><Relationship Id="rId248" Type="http://schemas.openxmlformats.org/officeDocument/2006/relationships/image" Target="media/image233.png"/><Relationship Id="rId249" Type="http://schemas.openxmlformats.org/officeDocument/2006/relationships/image" Target="media/image234.png"/><Relationship Id="rId250" Type="http://schemas.openxmlformats.org/officeDocument/2006/relationships/image" Target="media/image235.png"/><Relationship Id="rId251" Type="http://schemas.openxmlformats.org/officeDocument/2006/relationships/image" Target="media/image236.png"/><Relationship Id="rId252" Type="http://schemas.openxmlformats.org/officeDocument/2006/relationships/image" Target="media/image237.png"/><Relationship Id="rId253" Type="http://schemas.openxmlformats.org/officeDocument/2006/relationships/image" Target="media/image238.png"/><Relationship Id="rId254" Type="http://schemas.openxmlformats.org/officeDocument/2006/relationships/image" Target="media/image239.png"/><Relationship Id="rId255" Type="http://schemas.openxmlformats.org/officeDocument/2006/relationships/image" Target="media/image240.png"/><Relationship Id="rId256" Type="http://schemas.openxmlformats.org/officeDocument/2006/relationships/image" Target="media/image241.png"/><Relationship Id="rId257" Type="http://schemas.openxmlformats.org/officeDocument/2006/relationships/image" Target="media/image242.png"/><Relationship Id="rId258" Type="http://schemas.openxmlformats.org/officeDocument/2006/relationships/image" Target="media/image243.png"/><Relationship Id="rId259" Type="http://schemas.openxmlformats.org/officeDocument/2006/relationships/image" Target="media/image244.png"/><Relationship Id="rId260" Type="http://schemas.openxmlformats.org/officeDocument/2006/relationships/image" Target="media/image245.png"/><Relationship Id="rId261" Type="http://schemas.openxmlformats.org/officeDocument/2006/relationships/image" Target="media/image246.png"/><Relationship Id="rId262" Type="http://schemas.openxmlformats.org/officeDocument/2006/relationships/image" Target="media/image247.png"/><Relationship Id="rId263" Type="http://schemas.openxmlformats.org/officeDocument/2006/relationships/image" Target="media/image248.png"/><Relationship Id="rId264" Type="http://schemas.openxmlformats.org/officeDocument/2006/relationships/image" Target="media/image249.png"/><Relationship Id="rId265" Type="http://schemas.openxmlformats.org/officeDocument/2006/relationships/image" Target="media/image250.png"/><Relationship Id="rId266" Type="http://schemas.openxmlformats.org/officeDocument/2006/relationships/image" Target="media/image251.png"/><Relationship Id="rId267" Type="http://schemas.openxmlformats.org/officeDocument/2006/relationships/image" Target="media/image252.png"/><Relationship Id="rId268" Type="http://schemas.openxmlformats.org/officeDocument/2006/relationships/image" Target="media/image253.png"/><Relationship Id="rId269" Type="http://schemas.openxmlformats.org/officeDocument/2006/relationships/image" Target="media/image254.png"/><Relationship Id="rId270" Type="http://schemas.openxmlformats.org/officeDocument/2006/relationships/image" Target="media/image255.png"/><Relationship Id="rId271" Type="http://schemas.openxmlformats.org/officeDocument/2006/relationships/image" Target="media/image256.png"/><Relationship Id="rId272" Type="http://schemas.openxmlformats.org/officeDocument/2006/relationships/image" Target="media/image257.png"/><Relationship Id="rId273" Type="http://schemas.openxmlformats.org/officeDocument/2006/relationships/image" Target="media/image258.png"/><Relationship Id="rId274" Type="http://schemas.openxmlformats.org/officeDocument/2006/relationships/image" Target="media/image259.png"/><Relationship Id="rId275" Type="http://schemas.openxmlformats.org/officeDocument/2006/relationships/image" Target="media/image260.png"/><Relationship Id="rId276" Type="http://schemas.openxmlformats.org/officeDocument/2006/relationships/image" Target="media/image261.png"/><Relationship Id="rId277" Type="http://schemas.openxmlformats.org/officeDocument/2006/relationships/image" Target="media/image262.png"/><Relationship Id="rId278" Type="http://schemas.openxmlformats.org/officeDocument/2006/relationships/image" Target="media/image263.png"/><Relationship Id="rId279" Type="http://schemas.openxmlformats.org/officeDocument/2006/relationships/image" Target="media/image264.png"/><Relationship Id="rId280" Type="http://schemas.openxmlformats.org/officeDocument/2006/relationships/image" Target="media/image265.png"/><Relationship Id="rId281" Type="http://schemas.openxmlformats.org/officeDocument/2006/relationships/image" Target="media/image26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Links>
    <vt:vector size="18" baseType="variant">
      <vt:variant>
        <vt:i4>1507387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_Toc85441061</vt:lpwstr>
      </vt:variant>
      <vt:variant>
        <vt:i4>1441851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_Toc85441060</vt:lpwstr>
      </vt:variant>
      <vt:variant>
        <vt:i4>2031672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_Toc85441059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2021-08-20T10:21:00Z</dcterms:created>
  <dcterms:modified xsi:type="dcterms:W3CDTF">2021-11-08T20:06:00Z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575afd7-7428-4d0b-a18c-f972d457efaf_Enabled">
    <vt:lpwstr>true</vt:lpwstr>
  </property>
  <property fmtid="{D5CDD505-2E9C-101B-9397-08002B2CF9AE}" pid="3" name="MSIP_Label_e575afd7-7428-4d0b-a18c-f972d457efaf_SetDate">
    <vt:lpwstr>2021-11-08T20:06:21Z</vt:lpwstr>
  </property>
  <property fmtid="{D5CDD505-2E9C-101B-9397-08002B2CF9AE}" pid="4" name="MSIP_Label_e575afd7-7428-4d0b-a18c-f972d457efaf_Method">
    <vt:lpwstr>Standard</vt:lpwstr>
  </property>
  <property fmtid="{D5CDD505-2E9C-101B-9397-08002B2CF9AE}" pid="5" name="MSIP_Label_e575afd7-7428-4d0b-a18c-f972d457efaf_Name">
    <vt:lpwstr>e575afd7-7428-4d0b-a18c-f972d457efaf</vt:lpwstr>
  </property>
  <property fmtid="{D5CDD505-2E9C-101B-9397-08002B2CF9AE}" pid="6" name="MSIP_Label_e575afd7-7428-4d0b-a18c-f972d457efaf_SiteId">
    <vt:lpwstr>306bb27f-a230-403b-a436-2e5cd45b8ec0</vt:lpwstr>
  </property>
  <property fmtid="{D5CDD505-2E9C-101B-9397-08002B2CF9AE}" pid="7" name="MSIP_Label_e575afd7-7428-4d0b-a18c-f972d457efaf_ActionId">
    <vt:lpwstr>1cc2913a-faa7-40a0-91e5-dd0188de12ba</vt:lpwstr>
  </property>
  <property fmtid="{D5CDD505-2E9C-101B-9397-08002B2CF9AE}" pid="8" name="MSIP_Label_e575afd7-7428-4d0b-a18c-f972d457efaf_ContentBits">
    <vt:lpwstr>2</vt:lpwstr>
  </property>
</Properties>
</file>